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C88" w:rsidRDefault="00E71C88" w:rsidP="00E71C88">
      <w:pPr>
        <w:pStyle w:val="Ttulo1"/>
        <w:tabs>
          <w:tab w:val="left" w:pos="840"/>
          <w:tab w:val="left" w:pos="3705"/>
        </w:tabs>
        <w:jc w:val="both"/>
        <w:rPr>
          <w:rFonts w:ascii="Verdana" w:hAnsi="Verdana"/>
          <w:b w:val="0"/>
          <w:color w:val="0000FF"/>
          <w:sz w:val="18"/>
          <w:szCs w:val="18"/>
          <w:lang w:val="pt-BR"/>
        </w:rPr>
      </w:pPr>
      <w:r>
        <w:rPr>
          <w:rFonts w:ascii="Verdana" w:hAnsi="Verdana"/>
          <w:sz w:val="18"/>
          <w:szCs w:val="18"/>
        </w:rPr>
        <w:t>PUBLICADA NO DOE n. 1</w:t>
      </w:r>
      <w:r>
        <w:rPr>
          <w:rFonts w:ascii="Verdana" w:hAnsi="Verdana"/>
          <w:sz w:val="18"/>
          <w:szCs w:val="18"/>
          <w:lang w:val="pt-BR"/>
        </w:rPr>
        <w:t>1</w:t>
      </w:r>
      <w:r>
        <w:rPr>
          <w:rFonts w:ascii="Verdana" w:hAnsi="Verdana"/>
          <w:sz w:val="18"/>
          <w:szCs w:val="18"/>
        </w:rPr>
        <w:t>.</w:t>
      </w:r>
      <w:r>
        <w:rPr>
          <w:rFonts w:ascii="Verdana" w:hAnsi="Verdana"/>
          <w:sz w:val="18"/>
          <w:szCs w:val="18"/>
          <w:lang w:val="pt-BR"/>
        </w:rPr>
        <w:t>746,</w:t>
      </w:r>
      <w:r>
        <w:rPr>
          <w:rFonts w:ascii="Verdana" w:hAnsi="Verdana"/>
          <w:sz w:val="18"/>
          <w:szCs w:val="18"/>
          <w:lang w:val="pt-BR"/>
        </w:rPr>
        <w:t xml:space="preserve"> </w:t>
      </w:r>
      <w:r>
        <w:rPr>
          <w:rFonts w:ascii="Verdana" w:hAnsi="Verdana"/>
          <w:sz w:val="18"/>
          <w:szCs w:val="18"/>
        </w:rPr>
        <w:t xml:space="preserve">de </w:t>
      </w:r>
      <w:r>
        <w:rPr>
          <w:rFonts w:ascii="Verdana" w:hAnsi="Verdana"/>
          <w:sz w:val="18"/>
          <w:szCs w:val="18"/>
          <w:lang w:val="pt-BR"/>
        </w:rPr>
        <w:t>1</w:t>
      </w:r>
      <w:r>
        <w:rPr>
          <w:rFonts w:ascii="Verdana" w:hAnsi="Verdana"/>
          <w:sz w:val="18"/>
          <w:szCs w:val="18"/>
          <w:lang w:val="pt-BR"/>
        </w:rPr>
        <w:t>4</w:t>
      </w:r>
      <w:r>
        <w:rPr>
          <w:rFonts w:ascii="Verdana" w:hAnsi="Verdana"/>
          <w:sz w:val="18"/>
          <w:szCs w:val="18"/>
        </w:rPr>
        <w:t>/</w:t>
      </w:r>
      <w:r>
        <w:rPr>
          <w:rFonts w:ascii="Verdana" w:hAnsi="Verdana"/>
          <w:sz w:val="18"/>
          <w:szCs w:val="18"/>
          <w:lang w:val="pt-BR"/>
        </w:rPr>
        <w:t>2</w:t>
      </w:r>
      <w:r>
        <w:rPr>
          <w:rFonts w:ascii="Verdana" w:hAnsi="Verdana"/>
          <w:sz w:val="18"/>
          <w:szCs w:val="18"/>
        </w:rPr>
        <w:t>/202</w:t>
      </w:r>
      <w:r>
        <w:rPr>
          <w:rFonts w:ascii="Verdana" w:hAnsi="Verdana"/>
          <w:sz w:val="18"/>
          <w:szCs w:val="18"/>
          <w:lang w:val="pt-BR"/>
        </w:rPr>
        <w:t>5</w:t>
      </w:r>
      <w:r>
        <w:rPr>
          <w:rFonts w:ascii="Verdana" w:hAnsi="Verdana"/>
          <w:sz w:val="18"/>
          <w:szCs w:val="18"/>
        </w:rPr>
        <w:t>, p</w:t>
      </w:r>
      <w:r>
        <w:rPr>
          <w:rFonts w:ascii="Verdana" w:hAnsi="Verdana"/>
          <w:sz w:val="18"/>
          <w:szCs w:val="18"/>
          <w:lang w:val="pt-BR"/>
        </w:rPr>
        <w:t>. 10/1</w:t>
      </w:r>
      <w:r>
        <w:rPr>
          <w:rFonts w:ascii="Verdana" w:hAnsi="Verdana"/>
          <w:sz w:val="18"/>
          <w:szCs w:val="18"/>
          <w:lang w:val="pt-BR"/>
        </w:rPr>
        <w:t>1</w:t>
      </w:r>
      <w:r>
        <w:rPr>
          <w:rFonts w:ascii="Verdana" w:hAnsi="Verdana"/>
          <w:sz w:val="18"/>
          <w:szCs w:val="18"/>
          <w:lang w:val="pt-BR"/>
        </w:rPr>
        <w:t>.</w:t>
      </w:r>
    </w:p>
    <w:p w:rsidR="001F3783" w:rsidRPr="001F3783" w:rsidRDefault="001F3783" w:rsidP="001F3783">
      <w:pPr>
        <w:jc w:val="both"/>
        <w:rPr>
          <w:rFonts w:ascii="Verdana" w:hAnsi="Verdana"/>
          <w:sz w:val="18"/>
          <w:szCs w:val="18"/>
        </w:rPr>
      </w:pPr>
      <w:r w:rsidRPr="001F3783">
        <w:rPr>
          <w:rFonts w:ascii="Verdana" w:hAnsi="Verdana"/>
          <w:color w:val="000000"/>
          <w:sz w:val="18"/>
          <w:szCs w:val="18"/>
        </w:rPr>
        <w:t>RESOLUÇÃO/TAT/MS N</w:t>
      </w:r>
      <w:r w:rsidR="001C58ED" w:rsidRPr="001F3783">
        <w:rPr>
          <w:rFonts w:ascii="Verdana" w:hAnsi="Verdana"/>
          <w:strike/>
          <w:sz w:val="18"/>
          <w:szCs w:val="18"/>
        </w:rPr>
        <w:t>º</w:t>
      </w:r>
      <w:r w:rsidRPr="001F3783">
        <w:rPr>
          <w:rFonts w:ascii="Verdana" w:hAnsi="Verdana"/>
          <w:color w:val="000000"/>
          <w:sz w:val="18"/>
          <w:szCs w:val="18"/>
        </w:rPr>
        <w:t xml:space="preserve"> </w:t>
      </w:r>
      <w:r w:rsidR="00DB6B47">
        <w:rPr>
          <w:rFonts w:ascii="Verdana" w:hAnsi="Verdana"/>
          <w:color w:val="000000"/>
          <w:sz w:val="18"/>
          <w:szCs w:val="18"/>
        </w:rPr>
        <w:t>1</w:t>
      </w:r>
      <w:r w:rsidR="00B11AEE">
        <w:rPr>
          <w:rFonts w:ascii="Verdana" w:hAnsi="Verdana"/>
          <w:color w:val="000000"/>
          <w:sz w:val="18"/>
          <w:szCs w:val="18"/>
        </w:rPr>
        <w:t>5</w:t>
      </w:r>
      <w:r w:rsidRPr="001F3783">
        <w:rPr>
          <w:rFonts w:ascii="Verdana" w:hAnsi="Verdana"/>
          <w:color w:val="000000"/>
          <w:sz w:val="18"/>
          <w:szCs w:val="18"/>
        </w:rPr>
        <w:t>/202</w:t>
      </w:r>
      <w:r w:rsidR="003671D4">
        <w:rPr>
          <w:rFonts w:ascii="Verdana" w:hAnsi="Verdana"/>
          <w:color w:val="000000"/>
          <w:sz w:val="18"/>
          <w:szCs w:val="18"/>
        </w:rPr>
        <w:t>5</w:t>
      </w:r>
      <w:r w:rsidRPr="001F3783">
        <w:rPr>
          <w:rFonts w:ascii="Verdana" w:hAnsi="Verdana"/>
          <w:color w:val="000000"/>
          <w:sz w:val="18"/>
          <w:szCs w:val="18"/>
        </w:rPr>
        <w:t xml:space="preserve">, DE </w:t>
      </w:r>
      <w:r w:rsidR="00B11AEE">
        <w:rPr>
          <w:rFonts w:ascii="Verdana" w:hAnsi="Verdana"/>
          <w:color w:val="000000"/>
          <w:sz w:val="18"/>
          <w:szCs w:val="18"/>
        </w:rPr>
        <w:t>12 DE FEVEREIRO DE 2025</w:t>
      </w:r>
      <w:r w:rsidRPr="001F3783">
        <w:rPr>
          <w:rFonts w:ascii="Verdana" w:hAnsi="Verdana"/>
          <w:color w:val="000000"/>
          <w:sz w:val="18"/>
          <w:szCs w:val="18"/>
        </w:rPr>
        <w:t>.</w:t>
      </w:r>
    </w:p>
    <w:p w:rsidR="001F3783" w:rsidRPr="001F3783" w:rsidRDefault="001F3783" w:rsidP="001F3783">
      <w:pPr>
        <w:jc w:val="both"/>
        <w:rPr>
          <w:rFonts w:ascii="Verdana" w:hAnsi="Verdana"/>
          <w:sz w:val="18"/>
          <w:szCs w:val="18"/>
        </w:rPr>
      </w:pPr>
    </w:p>
    <w:p w:rsidR="001F3783" w:rsidRPr="001F3783" w:rsidRDefault="001F3783" w:rsidP="001F3783">
      <w:pPr>
        <w:jc w:val="both"/>
        <w:rPr>
          <w:rFonts w:ascii="Verdana" w:hAnsi="Verdana"/>
          <w:sz w:val="18"/>
          <w:szCs w:val="18"/>
        </w:rPr>
      </w:pPr>
    </w:p>
    <w:p w:rsidR="007D6EF5" w:rsidRDefault="00923A0F" w:rsidP="001F3783">
      <w:pPr>
        <w:autoSpaceDE w:val="0"/>
        <w:autoSpaceDN w:val="0"/>
        <w:adjustRightInd w:val="0"/>
        <w:ind w:left="4253"/>
        <w:jc w:val="both"/>
        <w:rPr>
          <w:rFonts w:ascii="Verdana" w:hAnsi="Verdana"/>
          <w:sz w:val="18"/>
          <w:szCs w:val="18"/>
        </w:rPr>
      </w:pPr>
      <w:r>
        <w:rPr>
          <w:rFonts w:ascii="Verdana" w:hAnsi="Verdana"/>
          <w:sz w:val="18"/>
          <w:szCs w:val="18"/>
        </w:rPr>
        <w:t xml:space="preserve">Dispõe sobre </w:t>
      </w:r>
      <w:r w:rsidR="007D6EF5">
        <w:rPr>
          <w:rFonts w:ascii="Verdana" w:hAnsi="Verdana"/>
          <w:sz w:val="18"/>
          <w:szCs w:val="18"/>
        </w:rPr>
        <w:t xml:space="preserve">a </w:t>
      </w:r>
      <w:r w:rsidR="00747874">
        <w:rPr>
          <w:rFonts w:ascii="Verdana" w:hAnsi="Verdana"/>
          <w:sz w:val="18"/>
          <w:szCs w:val="18"/>
        </w:rPr>
        <w:t xml:space="preserve">vedação </w:t>
      </w:r>
      <w:r w:rsidR="007D6EF5">
        <w:rPr>
          <w:rFonts w:ascii="Verdana" w:hAnsi="Verdana"/>
          <w:sz w:val="18"/>
          <w:szCs w:val="18"/>
        </w:rPr>
        <w:t xml:space="preserve">de </w:t>
      </w:r>
      <w:r>
        <w:rPr>
          <w:rFonts w:ascii="Verdana" w:hAnsi="Verdana"/>
          <w:sz w:val="18"/>
          <w:szCs w:val="18"/>
        </w:rPr>
        <w:t>participação</w:t>
      </w:r>
      <w:r w:rsidR="00747874">
        <w:rPr>
          <w:rFonts w:ascii="Verdana" w:hAnsi="Verdana"/>
          <w:sz w:val="18"/>
          <w:szCs w:val="18"/>
        </w:rPr>
        <w:t xml:space="preserve">, por vídeo conferência, de conselheiros </w:t>
      </w:r>
      <w:r w:rsidR="007D6EF5">
        <w:rPr>
          <w:rFonts w:ascii="Verdana" w:hAnsi="Verdana"/>
          <w:sz w:val="18"/>
          <w:szCs w:val="18"/>
        </w:rPr>
        <w:t>do Tribunal Administrativo Tributário</w:t>
      </w:r>
      <w:r w:rsidR="00747874">
        <w:rPr>
          <w:rFonts w:ascii="Verdana" w:hAnsi="Verdana"/>
          <w:sz w:val="18"/>
          <w:szCs w:val="18"/>
        </w:rPr>
        <w:t xml:space="preserve">, nas sessões de julgamento ou administrativa, </w:t>
      </w:r>
      <w:r w:rsidR="00FB66C5">
        <w:rPr>
          <w:rFonts w:ascii="Verdana" w:hAnsi="Verdana"/>
          <w:sz w:val="18"/>
          <w:szCs w:val="18"/>
        </w:rPr>
        <w:t>e dá outras providências</w:t>
      </w:r>
      <w:r w:rsidR="007D6EF5">
        <w:rPr>
          <w:rFonts w:ascii="Verdana" w:hAnsi="Verdana"/>
          <w:sz w:val="18"/>
          <w:szCs w:val="18"/>
        </w:rPr>
        <w:t>.</w:t>
      </w:r>
    </w:p>
    <w:p w:rsidR="001F3783" w:rsidRPr="001F3783" w:rsidRDefault="001F3783" w:rsidP="001F3783">
      <w:pPr>
        <w:ind w:firstLine="1701"/>
        <w:jc w:val="both"/>
        <w:rPr>
          <w:rFonts w:ascii="Verdana" w:hAnsi="Verdana"/>
          <w:sz w:val="18"/>
          <w:szCs w:val="18"/>
        </w:rPr>
      </w:pPr>
      <w:bookmarkStart w:id="0" w:name="_GoBack"/>
      <w:bookmarkEnd w:id="0"/>
    </w:p>
    <w:p w:rsidR="001F3783" w:rsidRPr="001F3783" w:rsidRDefault="001F3783" w:rsidP="00DB6B47">
      <w:pPr>
        <w:pStyle w:val="NormalWeb"/>
        <w:spacing w:before="0" w:beforeAutospacing="0" w:after="0" w:afterAutospacing="0"/>
        <w:ind w:firstLine="1418"/>
        <w:jc w:val="both"/>
        <w:rPr>
          <w:rFonts w:ascii="Verdana" w:hAnsi="Verdana"/>
          <w:color w:val="000000"/>
          <w:sz w:val="18"/>
          <w:szCs w:val="18"/>
        </w:rPr>
      </w:pPr>
      <w:r w:rsidRPr="001F3783">
        <w:rPr>
          <w:rFonts w:ascii="Verdana" w:hAnsi="Verdana"/>
          <w:color w:val="000000"/>
          <w:sz w:val="18"/>
          <w:szCs w:val="18"/>
        </w:rPr>
        <w:t>O PRESIDENTE DO TRIBUNAL ADMINISTRATIVO TRIBUTÁRIO DO ESTADO DE MATO GROSSO DO SUL, no uso das atribuições que lhe defere o art. 15 do Anexo I do Decreto n</w:t>
      </w:r>
      <w:r w:rsidR="00796A83" w:rsidRPr="001F3783">
        <w:rPr>
          <w:rFonts w:ascii="Verdana" w:hAnsi="Verdana"/>
          <w:strike/>
          <w:sz w:val="18"/>
          <w:szCs w:val="18"/>
        </w:rPr>
        <w:t>º</w:t>
      </w:r>
      <w:r w:rsidRPr="001F3783">
        <w:rPr>
          <w:rFonts w:ascii="Verdana" w:hAnsi="Verdana"/>
          <w:color w:val="000000"/>
          <w:sz w:val="18"/>
          <w:szCs w:val="18"/>
        </w:rPr>
        <w:t xml:space="preserve"> 14.320, de 24 de novembro de 2015;</w:t>
      </w:r>
    </w:p>
    <w:p w:rsidR="001F3783" w:rsidRDefault="001F3783" w:rsidP="00DB6B47">
      <w:pPr>
        <w:pStyle w:val="NormalWeb"/>
        <w:spacing w:before="0" w:beforeAutospacing="0" w:after="0" w:afterAutospacing="0"/>
        <w:ind w:firstLine="1418"/>
        <w:jc w:val="both"/>
        <w:rPr>
          <w:rFonts w:ascii="Verdana" w:hAnsi="Verdana"/>
          <w:color w:val="000000"/>
          <w:sz w:val="18"/>
          <w:szCs w:val="18"/>
        </w:rPr>
      </w:pPr>
    </w:p>
    <w:p w:rsidR="00FB66C5" w:rsidRDefault="00FB66C5" w:rsidP="00FB66C5">
      <w:pPr>
        <w:pStyle w:val="NormalWeb"/>
        <w:spacing w:before="0" w:beforeAutospacing="0" w:after="0" w:afterAutospacing="0"/>
        <w:ind w:firstLine="1418"/>
        <w:jc w:val="both"/>
        <w:rPr>
          <w:rFonts w:ascii="Verdana" w:hAnsi="Verdana"/>
          <w:color w:val="000000"/>
          <w:sz w:val="18"/>
          <w:szCs w:val="18"/>
        </w:rPr>
      </w:pPr>
      <w:r>
        <w:rPr>
          <w:rFonts w:ascii="Verdana" w:hAnsi="Verdana"/>
          <w:color w:val="000000"/>
          <w:sz w:val="18"/>
          <w:szCs w:val="18"/>
        </w:rPr>
        <w:t>Considerando que a participação de membros e servidores em sessão de julgamento sob a forma remota pode comprometer a percepção fiel do caso jurídico em análise e julgamento pela Corte;</w:t>
      </w:r>
    </w:p>
    <w:p w:rsidR="00FB66C5" w:rsidRDefault="00FB66C5" w:rsidP="00FB66C5">
      <w:pPr>
        <w:pStyle w:val="NormalWeb"/>
        <w:spacing w:before="0" w:beforeAutospacing="0" w:after="0" w:afterAutospacing="0"/>
        <w:ind w:firstLine="1418"/>
        <w:jc w:val="both"/>
        <w:rPr>
          <w:rFonts w:ascii="Verdana" w:hAnsi="Verdana"/>
          <w:color w:val="000000"/>
          <w:sz w:val="18"/>
          <w:szCs w:val="18"/>
        </w:rPr>
      </w:pPr>
    </w:p>
    <w:p w:rsidR="00FB66C5" w:rsidRDefault="00FB66C5" w:rsidP="00FB66C5">
      <w:pPr>
        <w:pStyle w:val="NormalWeb"/>
        <w:spacing w:before="0" w:beforeAutospacing="0" w:after="0" w:afterAutospacing="0"/>
        <w:ind w:firstLine="1418"/>
        <w:jc w:val="both"/>
        <w:rPr>
          <w:rFonts w:ascii="Verdana" w:hAnsi="Verdana"/>
          <w:color w:val="000000"/>
          <w:sz w:val="18"/>
          <w:szCs w:val="18"/>
        </w:rPr>
      </w:pPr>
      <w:r w:rsidRPr="006E7E68">
        <w:rPr>
          <w:rFonts w:ascii="Verdana" w:hAnsi="Verdana"/>
          <w:color w:val="000000"/>
          <w:sz w:val="18"/>
          <w:szCs w:val="18"/>
        </w:rPr>
        <w:t xml:space="preserve">Considerando o dever de eficiência prescrito no art. 37, </w:t>
      </w:r>
      <w:r w:rsidRPr="006E7E68">
        <w:rPr>
          <w:rFonts w:ascii="Verdana" w:hAnsi="Verdana"/>
          <w:i/>
          <w:color w:val="000000"/>
          <w:sz w:val="18"/>
          <w:szCs w:val="18"/>
        </w:rPr>
        <w:t>caput</w:t>
      </w:r>
      <w:r w:rsidRPr="006E7E68">
        <w:rPr>
          <w:rFonts w:ascii="Verdana" w:hAnsi="Verdana"/>
          <w:color w:val="000000"/>
          <w:sz w:val="18"/>
          <w:szCs w:val="18"/>
        </w:rPr>
        <w:t>, da Constituição Federal de 1988, que compreende tanto o dever de qualidade, § 3º, inciso I, quanto o de celeridade</w:t>
      </w:r>
      <w:r>
        <w:rPr>
          <w:rFonts w:ascii="Verdana" w:hAnsi="Verdana"/>
          <w:color w:val="000000"/>
          <w:sz w:val="18"/>
          <w:szCs w:val="18"/>
        </w:rPr>
        <w:t xml:space="preserve"> processual</w:t>
      </w:r>
      <w:r w:rsidRPr="006E7E68">
        <w:rPr>
          <w:rFonts w:ascii="Verdana" w:hAnsi="Verdana"/>
          <w:color w:val="000000"/>
          <w:sz w:val="18"/>
          <w:szCs w:val="18"/>
        </w:rPr>
        <w:t>, inciso LXXVIII, no serviço público a ser prestado pelo agente</w:t>
      </w:r>
      <w:r>
        <w:rPr>
          <w:rFonts w:ascii="Verdana" w:hAnsi="Verdana"/>
          <w:color w:val="000000"/>
          <w:sz w:val="18"/>
          <w:szCs w:val="18"/>
        </w:rPr>
        <w:t xml:space="preserve"> público</w:t>
      </w:r>
      <w:r w:rsidRPr="006E7E68">
        <w:rPr>
          <w:rFonts w:ascii="Verdana" w:hAnsi="Verdana"/>
          <w:color w:val="000000"/>
          <w:sz w:val="18"/>
          <w:szCs w:val="18"/>
        </w:rPr>
        <w:t>;</w:t>
      </w:r>
    </w:p>
    <w:p w:rsidR="00FB66C5" w:rsidRDefault="00FB66C5" w:rsidP="00FB66C5">
      <w:pPr>
        <w:pStyle w:val="NormalWeb"/>
        <w:spacing w:before="0" w:beforeAutospacing="0" w:after="0" w:afterAutospacing="0"/>
        <w:ind w:firstLine="1418"/>
        <w:jc w:val="both"/>
        <w:rPr>
          <w:rFonts w:ascii="Verdana" w:hAnsi="Verdana"/>
          <w:color w:val="000000"/>
          <w:sz w:val="18"/>
          <w:szCs w:val="18"/>
        </w:rPr>
      </w:pPr>
    </w:p>
    <w:p w:rsidR="00FB66C5" w:rsidRDefault="00FB66C5" w:rsidP="00FB66C5">
      <w:pPr>
        <w:pStyle w:val="NormalWeb"/>
        <w:spacing w:before="0" w:beforeAutospacing="0" w:after="0" w:afterAutospacing="0"/>
        <w:ind w:firstLine="1418"/>
        <w:jc w:val="both"/>
        <w:rPr>
          <w:rFonts w:ascii="Verdana" w:hAnsi="Verdana"/>
          <w:color w:val="000000"/>
          <w:sz w:val="18"/>
          <w:szCs w:val="18"/>
        </w:rPr>
      </w:pPr>
      <w:r>
        <w:rPr>
          <w:rFonts w:ascii="Verdana" w:hAnsi="Verdana"/>
          <w:color w:val="000000"/>
          <w:sz w:val="18"/>
          <w:szCs w:val="18"/>
        </w:rPr>
        <w:t>Considerando que o trabalho de julgamento remoto pode trazer sérios prejuízos na vista em mesa, ou mesmo em carga do respectivo processo, dificultando a ampla defesa e o contraditório (art. 5º, I, Lei n. 2.315/2001);</w:t>
      </w:r>
    </w:p>
    <w:p w:rsidR="00FB66C5" w:rsidRDefault="00FB66C5" w:rsidP="00FB66C5">
      <w:pPr>
        <w:pStyle w:val="NormalWeb"/>
        <w:spacing w:before="0" w:beforeAutospacing="0" w:after="0" w:afterAutospacing="0"/>
        <w:ind w:firstLine="1418"/>
        <w:jc w:val="both"/>
        <w:rPr>
          <w:rFonts w:ascii="Verdana" w:hAnsi="Verdana"/>
          <w:color w:val="000000"/>
          <w:sz w:val="18"/>
          <w:szCs w:val="18"/>
        </w:rPr>
      </w:pPr>
    </w:p>
    <w:p w:rsidR="00FB66C5" w:rsidRDefault="00FB66C5" w:rsidP="00FB66C5">
      <w:pPr>
        <w:pStyle w:val="NormalWeb"/>
        <w:spacing w:before="0" w:beforeAutospacing="0" w:after="0" w:afterAutospacing="0"/>
        <w:ind w:firstLine="1418"/>
        <w:jc w:val="both"/>
        <w:rPr>
          <w:rFonts w:ascii="Verdana" w:hAnsi="Verdana"/>
          <w:color w:val="000000"/>
          <w:sz w:val="18"/>
          <w:szCs w:val="18"/>
        </w:rPr>
      </w:pPr>
      <w:r>
        <w:rPr>
          <w:rFonts w:ascii="Verdana" w:hAnsi="Verdana"/>
          <w:color w:val="000000"/>
          <w:sz w:val="18"/>
          <w:szCs w:val="18"/>
        </w:rPr>
        <w:t xml:space="preserve">Considerando que a participação remota do julgador na sessão pode afetar a fluição dos debates e a permuta de informações entre os conselheiros na busca da verdade material (art. 3º, V, Lei 2.315/2001), da eficiência e da transparência </w:t>
      </w:r>
      <w:r w:rsidR="00F323FF" w:rsidRPr="00F323FF">
        <w:rPr>
          <w:rFonts w:ascii="Verdana" w:hAnsi="Verdana"/>
          <w:color w:val="000000"/>
          <w:sz w:val="18"/>
          <w:szCs w:val="18"/>
        </w:rPr>
        <w:t>das atividades do contencioso administrativo tribu</w:t>
      </w:r>
      <w:r w:rsidR="00F323FF">
        <w:rPr>
          <w:rFonts w:ascii="Verdana" w:hAnsi="Verdana"/>
          <w:color w:val="000000"/>
          <w:sz w:val="18"/>
          <w:szCs w:val="18"/>
        </w:rPr>
        <w:t>t</w:t>
      </w:r>
      <w:r w:rsidR="00F323FF" w:rsidRPr="00F323FF">
        <w:rPr>
          <w:rFonts w:ascii="Verdana" w:hAnsi="Verdana"/>
          <w:color w:val="000000"/>
          <w:sz w:val="18"/>
          <w:szCs w:val="18"/>
        </w:rPr>
        <w:t>ário</w:t>
      </w:r>
      <w:r w:rsidRPr="00F323FF">
        <w:rPr>
          <w:rFonts w:ascii="Verdana" w:hAnsi="Verdana"/>
          <w:color w:val="000000"/>
          <w:sz w:val="18"/>
          <w:szCs w:val="18"/>
        </w:rPr>
        <w:t>;</w:t>
      </w:r>
      <w:r>
        <w:rPr>
          <w:rFonts w:ascii="Verdana" w:hAnsi="Verdana"/>
          <w:color w:val="000000"/>
          <w:sz w:val="18"/>
          <w:szCs w:val="18"/>
        </w:rPr>
        <w:t xml:space="preserve"> </w:t>
      </w:r>
    </w:p>
    <w:p w:rsidR="00FB66C5" w:rsidRDefault="00FB66C5" w:rsidP="00FB66C5">
      <w:pPr>
        <w:pStyle w:val="NormalWeb"/>
        <w:spacing w:before="0" w:beforeAutospacing="0" w:after="0" w:afterAutospacing="0"/>
        <w:ind w:firstLine="1418"/>
        <w:jc w:val="both"/>
        <w:rPr>
          <w:rFonts w:ascii="Verdana" w:hAnsi="Verdana"/>
          <w:color w:val="000000"/>
          <w:sz w:val="18"/>
          <w:szCs w:val="18"/>
        </w:rPr>
      </w:pPr>
    </w:p>
    <w:p w:rsidR="00FB66C5" w:rsidRDefault="00FB66C5" w:rsidP="00FB66C5">
      <w:pPr>
        <w:pStyle w:val="NormalWeb"/>
        <w:spacing w:before="0" w:beforeAutospacing="0" w:after="0" w:afterAutospacing="0"/>
        <w:ind w:firstLine="1418"/>
        <w:jc w:val="both"/>
        <w:rPr>
          <w:rFonts w:ascii="Verdana" w:hAnsi="Verdana"/>
          <w:color w:val="000000"/>
          <w:sz w:val="18"/>
          <w:szCs w:val="18"/>
        </w:rPr>
      </w:pPr>
      <w:r>
        <w:rPr>
          <w:rFonts w:ascii="Verdana" w:hAnsi="Verdana"/>
          <w:color w:val="000000"/>
          <w:sz w:val="18"/>
          <w:szCs w:val="18"/>
        </w:rPr>
        <w:t>Considerando que no caso de impossibilidade de o conselheiro estar presencialmente na sessão, há possibilidade de se convocar suplentes para substituição em ausências justificadas;</w:t>
      </w:r>
    </w:p>
    <w:p w:rsidR="00FB66C5" w:rsidRDefault="00FB66C5" w:rsidP="00FB66C5">
      <w:pPr>
        <w:pStyle w:val="NormalWeb"/>
        <w:spacing w:before="0" w:beforeAutospacing="0" w:after="0" w:afterAutospacing="0"/>
        <w:ind w:firstLine="1418"/>
        <w:jc w:val="both"/>
        <w:rPr>
          <w:rFonts w:ascii="Verdana" w:hAnsi="Verdana"/>
          <w:color w:val="000000"/>
          <w:sz w:val="18"/>
          <w:szCs w:val="18"/>
        </w:rPr>
      </w:pPr>
    </w:p>
    <w:p w:rsidR="00FB66C5" w:rsidRDefault="00FB66C5" w:rsidP="00FB66C5">
      <w:pPr>
        <w:pStyle w:val="NormalWeb"/>
        <w:spacing w:before="0" w:beforeAutospacing="0" w:after="0" w:afterAutospacing="0"/>
        <w:ind w:firstLine="1418"/>
        <w:jc w:val="both"/>
        <w:rPr>
          <w:rFonts w:ascii="Verdana" w:hAnsi="Verdana"/>
          <w:color w:val="000000"/>
          <w:sz w:val="18"/>
          <w:szCs w:val="18"/>
        </w:rPr>
      </w:pPr>
      <w:r>
        <w:rPr>
          <w:rFonts w:ascii="Verdana" w:hAnsi="Verdana"/>
          <w:color w:val="000000"/>
          <w:sz w:val="18"/>
          <w:szCs w:val="18"/>
        </w:rPr>
        <w:t>Considerando a existência de processos físicos no Tribunal que exigem trâmites e procedimentos praticados de forma presencial,</w:t>
      </w:r>
    </w:p>
    <w:p w:rsidR="00FB66C5" w:rsidRPr="001F3783" w:rsidRDefault="00FB66C5" w:rsidP="00DB6B47">
      <w:pPr>
        <w:pStyle w:val="NormalWeb"/>
        <w:spacing w:before="0" w:beforeAutospacing="0" w:after="0" w:afterAutospacing="0"/>
        <w:ind w:firstLine="1418"/>
        <w:jc w:val="both"/>
        <w:rPr>
          <w:rFonts w:ascii="Verdana" w:hAnsi="Verdana"/>
          <w:color w:val="000000"/>
          <w:sz w:val="18"/>
          <w:szCs w:val="18"/>
        </w:rPr>
      </w:pPr>
    </w:p>
    <w:p w:rsidR="00523893" w:rsidRDefault="00523893" w:rsidP="007D6EF5">
      <w:pPr>
        <w:ind w:firstLine="1418"/>
        <w:jc w:val="both"/>
        <w:rPr>
          <w:rFonts w:ascii="Verdana" w:hAnsi="Verdana"/>
          <w:sz w:val="18"/>
          <w:szCs w:val="18"/>
        </w:rPr>
      </w:pPr>
    </w:p>
    <w:p w:rsidR="001F3783" w:rsidRPr="001F3783" w:rsidRDefault="001F3783" w:rsidP="007D6EF5">
      <w:pPr>
        <w:ind w:firstLine="1418"/>
        <w:jc w:val="both"/>
        <w:rPr>
          <w:rFonts w:ascii="Verdana" w:hAnsi="Verdana"/>
          <w:sz w:val="18"/>
          <w:szCs w:val="18"/>
        </w:rPr>
      </w:pPr>
      <w:r w:rsidRPr="001F3783">
        <w:rPr>
          <w:rFonts w:ascii="Verdana" w:hAnsi="Verdana"/>
          <w:sz w:val="18"/>
          <w:szCs w:val="18"/>
        </w:rPr>
        <w:t>R E S O L V E:</w:t>
      </w:r>
    </w:p>
    <w:p w:rsidR="001F3783" w:rsidRPr="001F3783" w:rsidRDefault="001F3783" w:rsidP="007D6EF5">
      <w:pPr>
        <w:ind w:firstLine="1418"/>
        <w:jc w:val="both"/>
        <w:rPr>
          <w:rFonts w:ascii="Verdana" w:hAnsi="Verdana"/>
          <w:sz w:val="18"/>
          <w:szCs w:val="18"/>
        </w:rPr>
      </w:pPr>
    </w:p>
    <w:p w:rsidR="00523893" w:rsidRDefault="001F3783" w:rsidP="007D6EF5">
      <w:pPr>
        <w:autoSpaceDE w:val="0"/>
        <w:autoSpaceDN w:val="0"/>
        <w:adjustRightInd w:val="0"/>
        <w:ind w:firstLine="1418"/>
        <w:jc w:val="both"/>
        <w:rPr>
          <w:rFonts w:ascii="Verdana" w:hAnsi="Verdana"/>
          <w:sz w:val="18"/>
          <w:szCs w:val="18"/>
        </w:rPr>
      </w:pPr>
      <w:r w:rsidRPr="001F3783">
        <w:rPr>
          <w:rFonts w:ascii="Verdana" w:hAnsi="Verdana"/>
          <w:sz w:val="18"/>
          <w:szCs w:val="18"/>
        </w:rPr>
        <w:t>Art. 1</w:t>
      </w:r>
      <w:r w:rsidRPr="001F3783">
        <w:rPr>
          <w:rFonts w:ascii="Verdana" w:hAnsi="Verdana"/>
          <w:strike/>
          <w:sz w:val="18"/>
          <w:szCs w:val="18"/>
        </w:rPr>
        <w:t>º</w:t>
      </w:r>
      <w:r w:rsidRPr="001F3783">
        <w:rPr>
          <w:rFonts w:ascii="Verdana" w:hAnsi="Verdana"/>
          <w:sz w:val="18"/>
          <w:szCs w:val="18"/>
        </w:rPr>
        <w:t xml:space="preserve"> </w:t>
      </w:r>
      <w:r w:rsidR="00523893">
        <w:rPr>
          <w:rFonts w:ascii="Verdana" w:hAnsi="Verdana"/>
          <w:sz w:val="18"/>
          <w:szCs w:val="18"/>
        </w:rPr>
        <w:t>A participação dos conselheiros, titulares e suplentes, nas sessões de julgamento e administrativas do Tribunal Administração Tributário, incluídos os que</w:t>
      </w:r>
      <w:r w:rsidR="000F7DE7">
        <w:rPr>
          <w:rFonts w:ascii="Verdana" w:hAnsi="Verdana"/>
          <w:sz w:val="18"/>
          <w:szCs w:val="18"/>
        </w:rPr>
        <w:t xml:space="preserve"> a presidem, </w:t>
      </w:r>
      <w:r w:rsidR="00523893">
        <w:rPr>
          <w:rFonts w:ascii="Verdana" w:hAnsi="Verdana"/>
          <w:sz w:val="18"/>
          <w:szCs w:val="18"/>
        </w:rPr>
        <w:t>deve ser feita</w:t>
      </w:r>
      <w:r w:rsidR="00747874">
        <w:rPr>
          <w:rFonts w:ascii="Verdana" w:hAnsi="Verdana"/>
          <w:sz w:val="18"/>
          <w:szCs w:val="18"/>
        </w:rPr>
        <w:t xml:space="preserve">, obrigatoriamente, </w:t>
      </w:r>
      <w:r w:rsidR="00523893">
        <w:rPr>
          <w:rFonts w:ascii="Verdana" w:hAnsi="Verdana"/>
          <w:sz w:val="18"/>
          <w:szCs w:val="18"/>
        </w:rPr>
        <w:t>de forma presencial.</w:t>
      </w:r>
    </w:p>
    <w:p w:rsidR="00523893" w:rsidRDefault="00523893" w:rsidP="007D6EF5">
      <w:pPr>
        <w:autoSpaceDE w:val="0"/>
        <w:autoSpaceDN w:val="0"/>
        <w:adjustRightInd w:val="0"/>
        <w:ind w:firstLine="1418"/>
        <w:jc w:val="both"/>
        <w:rPr>
          <w:rFonts w:ascii="Verdana" w:hAnsi="Verdana"/>
          <w:sz w:val="18"/>
          <w:szCs w:val="18"/>
        </w:rPr>
      </w:pPr>
    </w:p>
    <w:p w:rsidR="00523893" w:rsidRDefault="00523893" w:rsidP="007D6EF5">
      <w:pPr>
        <w:autoSpaceDE w:val="0"/>
        <w:autoSpaceDN w:val="0"/>
        <w:adjustRightInd w:val="0"/>
        <w:ind w:firstLine="1418"/>
        <w:jc w:val="both"/>
        <w:rPr>
          <w:rFonts w:ascii="Verdana" w:hAnsi="Verdana"/>
          <w:sz w:val="18"/>
          <w:szCs w:val="18"/>
        </w:rPr>
      </w:pPr>
      <w:r>
        <w:rPr>
          <w:rFonts w:ascii="Verdana" w:hAnsi="Verdana"/>
          <w:sz w:val="18"/>
          <w:szCs w:val="18"/>
        </w:rPr>
        <w:t>§ 1º Na impossibilidade de comparecimento, o consel</w:t>
      </w:r>
      <w:r w:rsidR="000F7DE7">
        <w:rPr>
          <w:rFonts w:ascii="Verdana" w:hAnsi="Verdana"/>
          <w:sz w:val="18"/>
          <w:szCs w:val="18"/>
        </w:rPr>
        <w:t>heiro titular deve ser substitu</w:t>
      </w:r>
      <w:r>
        <w:rPr>
          <w:rFonts w:ascii="Verdana" w:hAnsi="Verdana"/>
          <w:sz w:val="18"/>
          <w:szCs w:val="18"/>
        </w:rPr>
        <w:t xml:space="preserve">ído por conselheiro suplente, na forma do Regimento </w:t>
      </w:r>
      <w:r w:rsidR="00747874">
        <w:rPr>
          <w:rFonts w:ascii="Verdana" w:hAnsi="Verdana"/>
          <w:sz w:val="18"/>
          <w:szCs w:val="18"/>
        </w:rPr>
        <w:t xml:space="preserve">Interno </w:t>
      </w:r>
      <w:r>
        <w:rPr>
          <w:rFonts w:ascii="Verdana" w:hAnsi="Verdana"/>
          <w:sz w:val="18"/>
          <w:szCs w:val="18"/>
        </w:rPr>
        <w:t>do</w:t>
      </w:r>
      <w:r w:rsidR="000F7DE7">
        <w:rPr>
          <w:rFonts w:ascii="Verdana" w:hAnsi="Verdana"/>
          <w:sz w:val="18"/>
          <w:szCs w:val="18"/>
        </w:rPr>
        <w:t xml:space="preserve"> Tribunal.</w:t>
      </w:r>
      <w:r>
        <w:rPr>
          <w:rFonts w:ascii="Verdana" w:hAnsi="Verdana"/>
          <w:sz w:val="18"/>
          <w:szCs w:val="18"/>
        </w:rPr>
        <w:t xml:space="preserve"> </w:t>
      </w:r>
    </w:p>
    <w:p w:rsidR="000F7DE7" w:rsidRDefault="000F7DE7" w:rsidP="007D6EF5">
      <w:pPr>
        <w:autoSpaceDE w:val="0"/>
        <w:autoSpaceDN w:val="0"/>
        <w:adjustRightInd w:val="0"/>
        <w:ind w:firstLine="1418"/>
        <w:jc w:val="both"/>
        <w:rPr>
          <w:rFonts w:ascii="Verdana" w:hAnsi="Verdana"/>
          <w:sz w:val="18"/>
          <w:szCs w:val="18"/>
        </w:rPr>
      </w:pPr>
    </w:p>
    <w:p w:rsidR="000F7DE7" w:rsidRDefault="000F7DE7" w:rsidP="007D6EF5">
      <w:pPr>
        <w:autoSpaceDE w:val="0"/>
        <w:autoSpaceDN w:val="0"/>
        <w:adjustRightInd w:val="0"/>
        <w:ind w:firstLine="1418"/>
        <w:jc w:val="both"/>
        <w:rPr>
          <w:rFonts w:ascii="Verdana" w:hAnsi="Verdana"/>
          <w:sz w:val="18"/>
          <w:szCs w:val="18"/>
        </w:rPr>
      </w:pPr>
      <w:r>
        <w:rPr>
          <w:rFonts w:ascii="Verdana" w:hAnsi="Verdana"/>
          <w:sz w:val="18"/>
          <w:szCs w:val="18"/>
        </w:rPr>
        <w:t>§ 2º No caso de impossibilidade de o relator de processo pautado para julgamento comparecer à respectiva sessão, o julgamento será prorrogado para a</w:t>
      </w:r>
      <w:r w:rsidR="00747874">
        <w:rPr>
          <w:rFonts w:ascii="Verdana" w:hAnsi="Verdana"/>
          <w:sz w:val="18"/>
          <w:szCs w:val="18"/>
        </w:rPr>
        <w:t>pós encerrado o impedimento de que trata o caput deste artigo.</w:t>
      </w:r>
    </w:p>
    <w:p w:rsidR="00F323FF" w:rsidRDefault="00F323FF" w:rsidP="007F39EF">
      <w:pPr>
        <w:autoSpaceDE w:val="0"/>
        <w:autoSpaceDN w:val="0"/>
        <w:adjustRightInd w:val="0"/>
        <w:ind w:firstLine="1418"/>
        <w:jc w:val="both"/>
        <w:rPr>
          <w:rFonts w:ascii="Verdana" w:hAnsi="Verdana"/>
          <w:sz w:val="18"/>
          <w:szCs w:val="18"/>
        </w:rPr>
      </w:pPr>
    </w:p>
    <w:p w:rsidR="000F7DE7" w:rsidRDefault="007F39EF" w:rsidP="007F39EF">
      <w:pPr>
        <w:autoSpaceDE w:val="0"/>
        <w:autoSpaceDN w:val="0"/>
        <w:adjustRightInd w:val="0"/>
        <w:ind w:firstLine="1418"/>
        <w:jc w:val="both"/>
        <w:rPr>
          <w:rFonts w:ascii="Verdana" w:hAnsi="Verdana"/>
          <w:sz w:val="18"/>
          <w:szCs w:val="18"/>
        </w:rPr>
      </w:pPr>
      <w:r>
        <w:rPr>
          <w:rFonts w:ascii="Verdana" w:hAnsi="Verdana"/>
          <w:sz w:val="18"/>
          <w:szCs w:val="18"/>
        </w:rPr>
        <w:t xml:space="preserve">§ </w:t>
      </w:r>
      <w:r w:rsidR="00F323FF">
        <w:rPr>
          <w:rFonts w:ascii="Verdana" w:hAnsi="Verdana"/>
          <w:sz w:val="18"/>
          <w:szCs w:val="18"/>
        </w:rPr>
        <w:t>3</w:t>
      </w:r>
      <w:r>
        <w:rPr>
          <w:rFonts w:ascii="Verdana" w:hAnsi="Verdana"/>
          <w:sz w:val="18"/>
          <w:szCs w:val="18"/>
        </w:rPr>
        <w:t>º O disposto neste artigo aplica-se, também, no que couber, aos representantes da Procuradoria-Geral do Estado.</w:t>
      </w:r>
    </w:p>
    <w:p w:rsidR="00523893" w:rsidRDefault="00523893" w:rsidP="007D6EF5">
      <w:pPr>
        <w:autoSpaceDE w:val="0"/>
        <w:autoSpaceDN w:val="0"/>
        <w:adjustRightInd w:val="0"/>
        <w:ind w:firstLine="1418"/>
        <w:jc w:val="both"/>
        <w:rPr>
          <w:rFonts w:ascii="Verdana" w:hAnsi="Verdana"/>
          <w:sz w:val="18"/>
          <w:szCs w:val="18"/>
        </w:rPr>
      </w:pPr>
    </w:p>
    <w:p w:rsidR="00923A0F" w:rsidRDefault="00611C29" w:rsidP="007D6EF5">
      <w:pPr>
        <w:autoSpaceDE w:val="0"/>
        <w:autoSpaceDN w:val="0"/>
        <w:adjustRightInd w:val="0"/>
        <w:ind w:firstLine="1418"/>
        <w:jc w:val="both"/>
        <w:rPr>
          <w:rFonts w:ascii="Verdana" w:hAnsi="Verdana"/>
          <w:sz w:val="18"/>
          <w:szCs w:val="18"/>
        </w:rPr>
      </w:pPr>
      <w:r>
        <w:rPr>
          <w:rFonts w:ascii="Verdana" w:hAnsi="Verdana"/>
          <w:sz w:val="18"/>
          <w:szCs w:val="18"/>
        </w:rPr>
        <w:t>Art. 2º Os servidores que atuam na Secretaria e na Assessoria Técnica do Tribunal devem exercer as suas atividades</w:t>
      </w:r>
      <w:r w:rsidR="003671D4">
        <w:rPr>
          <w:rFonts w:ascii="Verdana" w:hAnsi="Verdana"/>
          <w:sz w:val="18"/>
          <w:szCs w:val="18"/>
        </w:rPr>
        <w:t>, obrigatoriamente,</w:t>
      </w:r>
      <w:r>
        <w:rPr>
          <w:rFonts w:ascii="Verdana" w:hAnsi="Verdana"/>
          <w:sz w:val="18"/>
          <w:szCs w:val="18"/>
        </w:rPr>
        <w:t xml:space="preserve"> de forma presencial, em razão da existência de processos físicos e da necessidade de atendimento aos conselheiros e aos contribuintes.</w:t>
      </w:r>
    </w:p>
    <w:p w:rsidR="00611C29" w:rsidRDefault="00611C29" w:rsidP="007D6EF5">
      <w:pPr>
        <w:autoSpaceDE w:val="0"/>
        <w:autoSpaceDN w:val="0"/>
        <w:adjustRightInd w:val="0"/>
        <w:ind w:firstLine="1418"/>
        <w:jc w:val="both"/>
        <w:rPr>
          <w:rFonts w:ascii="Verdana" w:hAnsi="Verdana"/>
          <w:sz w:val="18"/>
          <w:szCs w:val="18"/>
        </w:rPr>
      </w:pPr>
    </w:p>
    <w:p w:rsidR="00747874" w:rsidRDefault="008F584F" w:rsidP="007D6EF5">
      <w:pPr>
        <w:autoSpaceDE w:val="0"/>
        <w:autoSpaceDN w:val="0"/>
        <w:adjustRightInd w:val="0"/>
        <w:ind w:firstLine="1418"/>
        <w:jc w:val="both"/>
        <w:rPr>
          <w:rFonts w:ascii="Verdana" w:hAnsi="Verdana"/>
          <w:sz w:val="18"/>
          <w:szCs w:val="18"/>
        </w:rPr>
      </w:pPr>
      <w:r>
        <w:rPr>
          <w:rFonts w:ascii="Verdana" w:hAnsi="Verdana"/>
          <w:sz w:val="18"/>
          <w:szCs w:val="18"/>
        </w:rPr>
        <w:t>Art. 3º Os conselheiros que não comparecerem às sessões por trinta dias seguidos ou alternados, dentro do exercício civil, sem motivo justificado, acolhido pelo Presidente do Tribunal, devem devolver os processos que lhes for</w:t>
      </w:r>
      <w:r w:rsidR="00927746">
        <w:rPr>
          <w:rFonts w:ascii="Verdana" w:hAnsi="Verdana"/>
          <w:sz w:val="18"/>
          <w:szCs w:val="18"/>
        </w:rPr>
        <w:t>a</w:t>
      </w:r>
      <w:r>
        <w:rPr>
          <w:rFonts w:ascii="Verdana" w:hAnsi="Verdana"/>
          <w:sz w:val="18"/>
          <w:szCs w:val="18"/>
        </w:rPr>
        <w:t>m distribuídos</w:t>
      </w:r>
      <w:r w:rsidR="00927746">
        <w:rPr>
          <w:rFonts w:ascii="Verdana" w:hAnsi="Verdana"/>
          <w:sz w:val="18"/>
          <w:szCs w:val="18"/>
        </w:rPr>
        <w:t>, para serem redistribuídos em regime de prioridade.</w:t>
      </w:r>
    </w:p>
    <w:p w:rsidR="00747874" w:rsidRDefault="00747874" w:rsidP="007D6EF5">
      <w:pPr>
        <w:autoSpaceDE w:val="0"/>
        <w:autoSpaceDN w:val="0"/>
        <w:adjustRightInd w:val="0"/>
        <w:ind w:firstLine="1418"/>
        <w:jc w:val="both"/>
        <w:rPr>
          <w:rFonts w:ascii="Verdana" w:hAnsi="Verdana"/>
          <w:sz w:val="18"/>
          <w:szCs w:val="18"/>
        </w:rPr>
      </w:pPr>
    </w:p>
    <w:p w:rsidR="001F3783" w:rsidRPr="001F3783" w:rsidRDefault="00994CC5" w:rsidP="009131C9">
      <w:pPr>
        <w:ind w:firstLine="567"/>
        <w:jc w:val="both"/>
        <w:rPr>
          <w:rFonts w:ascii="Verdana" w:hAnsi="Verdana"/>
          <w:bCs/>
          <w:sz w:val="18"/>
          <w:szCs w:val="18"/>
        </w:rPr>
      </w:pPr>
      <w:r w:rsidRPr="00994CC5">
        <w:rPr>
          <w:rFonts w:ascii="Verdana" w:hAnsi="Verdana" w:cs="Arial"/>
          <w:sz w:val="20"/>
          <w:szCs w:val="20"/>
        </w:rPr>
        <w:lastRenderedPageBreak/>
        <w:tab/>
      </w:r>
      <w:r w:rsidRPr="00994CC5">
        <w:rPr>
          <w:rFonts w:ascii="Verdana" w:hAnsi="Verdana" w:cs="Arial"/>
          <w:sz w:val="20"/>
          <w:szCs w:val="20"/>
        </w:rPr>
        <w:tab/>
      </w:r>
      <w:r w:rsidR="001F3783" w:rsidRPr="001F3783">
        <w:rPr>
          <w:rFonts w:ascii="Verdana" w:hAnsi="Verdana"/>
          <w:sz w:val="18"/>
          <w:szCs w:val="18"/>
        </w:rPr>
        <w:t xml:space="preserve">Art. </w:t>
      </w:r>
      <w:r w:rsidR="00FB66C5">
        <w:rPr>
          <w:rFonts w:ascii="Verdana" w:hAnsi="Verdana"/>
          <w:sz w:val="18"/>
          <w:szCs w:val="18"/>
        </w:rPr>
        <w:t>4</w:t>
      </w:r>
      <w:r w:rsidR="001F3783" w:rsidRPr="001F3783">
        <w:rPr>
          <w:rFonts w:ascii="Verdana" w:hAnsi="Verdana"/>
          <w:strike/>
          <w:sz w:val="18"/>
          <w:szCs w:val="18"/>
        </w:rPr>
        <w:t>º</w:t>
      </w:r>
      <w:r w:rsidR="001F3783" w:rsidRPr="001F3783">
        <w:rPr>
          <w:rFonts w:ascii="Verdana" w:hAnsi="Verdana"/>
          <w:sz w:val="18"/>
          <w:szCs w:val="18"/>
        </w:rPr>
        <w:t xml:space="preserve"> Esta Resolução entra em vigor na data de sua publicação</w:t>
      </w:r>
      <w:r w:rsidR="001F3783" w:rsidRPr="001F3783">
        <w:rPr>
          <w:rFonts w:ascii="Verdana" w:hAnsi="Verdana"/>
          <w:bCs/>
          <w:sz w:val="18"/>
          <w:szCs w:val="18"/>
        </w:rPr>
        <w:t>.</w:t>
      </w:r>
    </w:p>
    <w:p w:rsidR="001F3783" w:rsidRPr="001F3783" w:rsidRDefault="001F3783" w:rsidP="00DB6B47">
      <w:pPr>
        <w:ind w:firstLine="1701"/>
        <w:jc w:val="both"/>
        <w:rPr>
          <w:rFonts w:ascii="Verdana" w:hAnsi="Verdana"/>
          <w:caps/>
          <w:sz w:val="18"/>
          <w:szCs w:val="18"/>
        </w:rPr>
      </w:pPr>
    </w:p>
    <w:p w:rsidR="001F3783" w:rsidRPr="001F3783" w:rsidRDefault="001F3783" w:rsidP="00DB6B47">
      <w:pPr>
        <w:ind w:firstLine="1701"/>
        <w:jc w:val="both"/>
        <w:rPr>
          <w:rFonts w:ascii="Verdana" w:hAnsi="Verdana"/>
          <w:caps/>
          <w:sz w:val="18"/>
          <w:szCs w:val="18"/>
        </w:rPr>
      </w:pPr>
      <w:r w:rsidRPr="001F3783">
        <w:rPr>
          <w:rFonts w:ascii="Verdana" w:hAnsi="Verdana"/>
          <w:sz w:val="18"/>
          <w:szCs w:val="18"/>
        </w:rPr>
        <w:t>Campo Grande</w:t>
      </w:r>
      <w:r w:rsidR="00F3629D">
        <w:rPr>
          <w:rFonts w:ascii="Verdana" w:hAnsi="Verdana"/>
          <w:sz w:val="18"/>
          <w:szCs w:val="18"/>
        </w:rPr>
        <w:t>-</w:t>
      </w:r>
      <w:r w:rsidRPr="001F3783">
        <w:rPr>
          <w:rFonts w:ascii="Verdana" w:hAnsi="Verdana"/>
          <w:sz w:val="18"/>
          <w:szCs w:val="18"/>
        </w:rPr>
        <w:t>MS,</w:t>
      </w:r>
      <w:r w:rsidRPr="001F3783">
        <w:rPr>
          <w:rFonts w:ascii="Verdana" w:hAnsi="Verdana"/>
          <w:bCs/>
          <w:sz w:val="18"/>
          <w:szCs w:val="18"/>
        </w:rPr>
        <w:t xml:space="preserve"> </w:t>
      </w:r>
      <w:r w:rsidR="009131C9">
        <w:rPr>
          <w:rFonts w:ascii="Verdana" w:hAnsi="Verdana"/>
          <w:bCs/>
          <w:sz w:val="18"/>
          <w:szCs w:val="18"/>
        </w:rPr>
        <w:t>12 de fevereiro de 2025</w:t>
      </w:r>
      <w:r w:rsidRPr="001F3783">
        <w:rPr>
          <w:rFonts w:ascii="Verdana" w:hAnsi="Verdana"/>
          <w:sz w:val="18"/>
          <w:szCs w:val="18"/>
        </w:rPr>
        <w:t>.</w:t>
      </w:r>
    </w:p>
    <w:p w:rsidR="001F3783" w:rsidRPr="001F3783" w:rsidRDefault="001F3783" w:rsidP="00DB6B47">
      <w:pPr>
        <w:ind w:firstLine="1701"/>
        <w:jc w:val="both"/>
        <w:rPr>
          <w:rFonts w:ascii="Verdana" w:hAnsi="Verdana"/>
          <w:caps/>
          <w:sz w:val="18"/>
          <w:szCs w:val="18"/>
        </w:rPr>
      </w:pPr>
    </w:p>
    <w:p w:rsidR="001F3783" w:rsidRPr="001F3783" w:rsidRDefault="001F3783" w:rsidP="00DB6B47">
      <w:pPr>
        <w:ind w:firstLine="1701"/>
        <w:jc w:val="both"/>
        <w:rPr>
          <w:rFonts w:ascii="Verdana" w:hAnsi="Verdana"/>
          <w:caps/>
          <w:sz w:val="18"/>
          <w:szCs w:val="18"/>
        </w:rPr>
      </w:pPr>
    </w:p>
    <w:p w:rsidR="001F3783" w:rsidRPr="001F3783" w:rsidRDefault="001F3783" w:rsidP="001F3783">
      <w:pPr>
        <w:pStyle w:val="NormalWeb"/>
        <w:spacing w:before="0" w:beforeAutospacing="0" w:after="0" w:afterAutospacing="0"/>
        <w:ind w:left="1701"/>
        <w:rPr>
          <w:rFonts w:ascii="Verdana" w:hAnsi="Verdana"/>
          <w:color w:val="000000"/>
          <w:sz w:val="18"/>
          <w:szCs w:val="18"/>
        </w:rPr>
      </w:pPr>
      <w:r w:rsidRPr="001F3783">
        <w:rPr>
          <w:rFonts w:ascii="Verdana" w:hAnsi="Verdana"/>
          <w:color w:val="000000"/>
          <w:sz w:val="18"/>
          <w:szCs w:val="18"/>
        </w:rPr>
        <w:t>Josafá José Ferreira do Carmo</w:t>
      </w:r>
    </w:p>
    <w:p w:rsidR="001F3783" w:rsidRDefault="001F3783" w:rsidP="00796A83">
      <w:pPr>
        <w:pStyle w:val="NormalWeb"/>
        <w:spacing w:before="0" w:beforeAutospacing="0" w:after="0" w:afterAutospacing="0"/>
        <w:ind w:left="2127"/>
        <w:rPr>
          <w:rFonts w:ascii="Verdana" w:hAnsi="Verdana"/>
          <w:color w:val="000000"/>
          <w:sz w:val="18"/>
          <w:szCs w:val="18"/>
        </w:rPr>
      </w:pPr>
      <w:r w:rsidRPr="001F3783">
        <w:rPr>
          <w:rFonts w:ascii="Verdana" w:hAnsi="Verdana"/>
          <w:color w:val="000000"/>
          <w:sz w:val="18"/>
          <w:szCs w:val="18"/>
        </w:rPr>
        <w:t>Presidente do TAT</w:t>
      </w:r>
    </w:p>
    <w:p w:rsidR="00DB6B47" w:rsidRDefault="00DB6B47" w:rsidP="001F3783">
      <w:pPr>
        <w:pStyle w:val="NormalWeb"/>
        <w:spacing w:before="0" w:beforeAutospacing="0" w:after="0" w:afterAutospacing="0"/>
        <w:ind w:left="1701"/>
        <w:rPr>
          <w:rFonts w:ascii="Verdana" w:hAnsi="Verdana"/>
          <w:color w:val="000000"/>
          <w:sz w:val="18"/>
          <w:szCs w:val="18"/>
        </w:rPr>
      </w:pPr>
    </w:p>
    <w:p w:rsidR="001F3783" w:rsidRPr="001F3783" w:rsidRDefault="001F3783" w:rsidP="001F3783">
      <w:pPr>
        <w:ind w:firstLine="1701"/>
        <w:jc w:val="center"/>
        <w:rPr>
          <w:rFonts w:ascii="Verdana" w:hAnsi="Verdana"/>
          <w:caps/>
          <w:sz w:val="18"/>
          <w:szCs w:val="18"/>
        </w:rPr>
      </w:pPr>
    </w:p>
    <w:p w:rsidR="00923A0F" w:rsidRDefault="00923A0F">
      <w:pPr>
        <w:spacing w:after="160" w:line="259" w:lineRule="auto"/>
        <w:rPr>
          <w:rFonts w:ascii="Verdana" w:hAnsi="Verdana"/>
          <w:caps/>
          <w:sz w:val="18"/>
          <w:szCs w:val="18"/>
        </w:rPr>
      </w:pPr>
      <w:r>
        <w:rPr>
          <w:rFonts w:ascii="Verdana" w:hAnsi="Verdana"/>
          <w:caps/>
          <w:sz w:val="18"/>
          <w:szCs w:val="18"/>
        </w:rPr>
        <w:br w:type="page"/>
      </w:r>
    </w:p>
    <w:p w:rsidR="001F3783" w:rsidRPr="001F3783" w:rsidRDefault="001F3783" w:rsidP="001F3783">
      <w:pPr>
        <w:ind w:firstLine="1701"/>
        <w:jc w:val="center"/>
        <w:rPr>
          <w:rFonts w:ascii="Verdana" w:hAnsi="Verdana"/>
          <w:caps/>
          <w:sz w:val="18"/>
          <w:szCs w:val="18"/>
        </w:rPr>
      </w:pPr>
    </w:p>
    <w:p w:rsidR="001F3783" w:rsidRPr="001F3783" w:rsidRDefault="001F3783" w:rsidP="001F3783">
      <w:pPr>
        <w:ind w:firstLine="1701"/>
        <w:jc w:val="center"/>
        <w:rPr>
          <w:rFonts w:ascii="Verdana" w:hAnsi="Verdana"/>
          <w:caps/>
          <w:sz w:val="18"/>
          <w:szCs w:val="18"/>
        </w:rPr>
      </w:pPr>
    </w:p>
    <w:sectPr w:rsidR="001F3783" w:rsidRPr="001F3783" w:rsidSect="00DB6B47">
      <w:headerReference w:type="default" r:id="rId6"/>
      <w:pgSz w:w="11906" w:h="16838" w:code="9"/>
      <w:pgMar w:top="1134" w:right="1701" w:bottom="1134" w:left="1701" w:header="53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A71" w:rsidRDefault="00863A71" w:rsidP="001F3783">
      <w:r>
        <w:separator/>
      </w:r>
    </w:p>
  </w:endnote>
  <w:endnote w:type="continuationSeparator" w:id="0">
    <w:p w:rsidR="00863A71" w:rsidRDefault="00863A71" w:rsidP="001F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A71" w:rsidRDefault="00863A71" w:rsidP="001F3783">
      <w:r>
        <w:separator/>
      </w:r>
    </w:p>
  </w:footnote>
  <w:footnote w:type="continuationSeparator" w:id="0">
    <w:p w:rsidR="00863A71" w:rsidRDefault="00863A71" w:rsidP="001F3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2D" w:rsidRPr="002776F4" w:rsidRDefault="00FA2598" w:rsidP="00FA792D">
    <w:pPr>
      <w:ind w:left="-1134"/>
      <w:jc w:val="center"/>
      <w:rPr>
        <w:rFonts w:cs="Arial"/>
        <w:sz w:val="28"/>
        <w:lang w:val="x-none" w:eastAsia="x-none"/>
      </w:rPr>
    </w:pPr>
  </w:p>
  <w:p w:rsidR="006F4AA7" w:rsidRPr="002776F4" w:rsidRDefault="00FA2598" w:rsidP="006F4AA7">
    <w:pPr>
      <w:spacing w:before="120"/>
      <w:ind w:left="-1134"/>
      <w:jc w:val="center"/>
      <w:rPr>
        <w:lang w:val="x-none" w:eastAsia="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11"/>
    <w:rsid w:val="000B7E67"/>
    <w:rsid w:val="000F7DE7"/>
    <w:rsid w:val="001C018D"/>
    <w:rsid w:val="001C58ED"/>
    <w:rsid w:val="001F3783"/>
    <w:rsid w:val="002424D9"/>
    <w:rsid w:val="002569B7"/>
    <w:rsid w:val="003671D4"/>
    <w:rsid w:val="003A4CD2"/>
    <w:rsid w:val="004B46F0"/>
    <w:rsid w:val="004C069A"/>
    <w:rsid w:val="00523893"/>
    <w:rsid w:val="00611C29"/>
    <w:rsid w:val="006936FA"/>
    <w:rsid w:val="006B5DC6"/>
    <w:rsid w:val="00747874"/>
    <w:rsid w:val="00796A83"/>
    <w:rsid w:val="007D6EF5"/>
    <w:rsid w:val="007E6289"/>
    <w:rsid w:val="007F39EF"/>
    <w:rsid w:val="00804917"/>
    <w:rsid w:val="00820347"/>
    <w:rsid w:val="008506F5"/>
    <w:rsid w:val="00863A71"/>
    <w:rsid w:val="008F584F"/>
    <w:rsid w:val="009131C9"/>
    <w:rsid w:val="00923A0F"/>
    <w:rsid w:val="00927746"/>
    <w:rsid w:val="00980B04"/>
    <w:rsid w:val="00994CC5"/>
    <w:rsid w:val="009953FA"/>
    <w:rsid w:val="00B11AEE"/>
    <w:rsid w:val="00B21E11"/>
    <w:rsid w:val="00C8581C"/>
    <w:rsid w:val="00C97A35"/>
    <w:rsid w:val="00DB6B47"/>
    <w:rsid w:val="00E03200"/>
    <w:rsid w:val="00E21AB3"/>
    <w:rsid w:val="00E71C88"/>
    <w:rsid w:val="00F27BF0"/>
    <w:rsid w:val="00F323FF"/>
    <w:rsid w:val="00F3629D"/>
    <w:rsid w:val="00FA2598"/>
    <w:rsid w:val="00FB66C5"/>
    <w:rsid w:val="00FE59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7BB5BC"/>
  <w15:chartTrackingRefBased/>
  <w15:docId w15:val="{FA7B8952-C4D5-4097-B5D3-60F44361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78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71C88"/>
    <w:pPr>
      <w:keepNext/>
      <w:jc w:val="center"/>
      <w:outlineLvl w:val="0"/>
    </w:pPr>
    <w:rPr>
      <w:rFonts w:ascii="Garamond" w:eastAsia="Arial Unicode MS" w:hAnsi="Garamond"/>
      <w:b/>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F3783"/>
    <w:pPr>
      <w:tabs>
        <w:tab w:val="center" w:pos="4419"/>
        <w:tab w:val="right" w:pos="8838"/>
      </w:tabs>
    </w:pPr>
    <w:rPr>
      <w:lang w:val="x-none" w:eastAsia="x-none"/>
    </w:rPr>
  </w:style>
  <w:style w:type="character" w:customStyle="1" w:styleId="CabealhoChar">
    <w:name w:val="Cabeçalho Char"/>
    <w:basedOn w:val="Fontepargpadro"/>
    <w:link w:val="Cabealho"/>
    <w:uiPriority w:val="99"/>
    <w:rsid w:val="001F3783"/>
    <w:rPr>
      <w:rFonts w:ascii="Times New Roman" w:eastAsia="Times New Roman" w:hAnsi="Times New Roman" w:cs="Times New Roman"/>
      <w:sz w:val="24"/>
      <w:szCs w:val="24"/>
      <w:lang w:val="x-none" w:eastAsia="x-none"/>
    </w:rPr>
  </w:style>
  <w:style w:type="paragraph" w:styleId="Rodap">
    <w:name w:val="footer"/>
    <w:basedOn w:val="Normal"/>
    <w:link w:val="RodapChar"/>
    <w:rsid w:val="001F3783"/>
    <w:pPr>
      <w:tabs>
        <w:tab w:val="center" w:pos="4419"/>
        <w:tab w:val="right" w:pos="8838"/>
      </w:tabs>
    </w:pPr>
  </w:style>
  <w:style w:type="character" w:customStyle="1" w:styleId="RodapChar">
    <w:name w:val="Rodapé Char"/>
    <w:basedOn w:val="Fontepargpadro"/>
    <w:link w:val="Rodap"/>
    <w:rsid w:val="001F3783"/>
    <w:rPr>
      <w:rFonts w:ascii="Times New Roman" w:eastAsia="Times New Roman" w:hAnsi="Times New Roman" w:cs="Times New Roman"/>
      <w:sz w:val="24"/>
      <w:szCs w:val="24"/>
      <w:lang w:eastAsia="pt-BR"/>
    </w:rPr>
  </w:style>
  <w:style w:type="character" w:styleId="Nmerodepgina">
    <w:name w:val="page number"/>
    <w:basedOn w:val="Fontepargpadro"/>
    <w:rsid w:val="001F3783"/>
  </w:style>
  <w:style w:type="paragraph" w:styleId="NormalWeb">
    <w:name w:val="Normal (Web)"/>
    <w:basedOn w:val="Normal"/>
    <w:uiPriority w:val="99"/>
    <w:unhideWhenUsed/>
    <w:rsid w:val="001F3783"/>
    <w:pPr>
      <w:spacing w:before="100" w:beforeAutospacing="1" w:after="100" w:afterAutospacing="1"/>
    </w:pPr>
  </w:style>
  <w:style w:type="paragraph" w:styleId="Textodebalo">
    <w:name w:val="Balloon Text"/>
    <w:basedOn w:val="Normal"/>
    <w:link w:val="TextodebaloChar"/>
    <w:uiPriority w:val="99"/>
    <w:semiHidden/>
    <w:unhideWhenUsed/>
    <w:rsid w:val="00980B04"/>
    <w:rPr>
      <w:rFonts w:ascii="Segoe UI" w:hAnsi="Segoe UI" w:cs="Segoe UI"/>
      <w:sz w:val="18"/>
      <w:szCs w:val="18"/>
    </w:rPr>
  </w:style>
  <w:style w:type="character" w:customStyle="1" w:styleId="TextodebaloChar">
    <w:name w:val="Texto de balão Char"/>
    <w:basedOn w:val="Fontepargpadro"/>
    <w:link w:val="Textodebalo"/>
    <w:uiPriority w:val="99"/>
    <w:semiHidden/>
    <w:rsid w:val="00980B04"/>
    <w:rPr>
      <w:rFonts w:ascii="Segoe UI" w:eastAsia="Times New Roman" w:hAnsi="Segoe UI" w:cs="Segoe UI"/>
      <w:sz w:val="18"/>
      <w:szCs w:val="18"/>
      <w:lang w:eastAsia="pt-BR"/>
    </w:rPr>
  </w:style>
  <w:style w:type="character" w:customStyle="1" w:styleId="Ttulo1Char">
    <w:name w:val="Título 1 Char"/>
    <w:basedOn w:val="Fontepargpadro"/>
    <w:link w:val="Ttulo1"/>
    <w:rsid w:val="00E71C88"/>
    <w:rPr>
      <w:rFonts w:ascii="Garamond" w:eastAsia="Arial Unicode MS" w:hAnsi="Garamond" w:cs="Times New Roman"/>
      <w:b/>
      <w:sz w:val="24"/>
      <w:szCs w:val="20"/>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504</Words>
  <Characters>2726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Alexandre Gomes de Almeida</dc:creator>
  <cp:keywords/>
  <dc:description/>
  <cp:lastModifiedBy>Juliana Cristina de Aquino</cp:lastModifiedBy>
  <cp:revision>14</cp:revision>
  <cp:lastPrinted>2025-02-14T13:16:00Z</cp:lastPrinted>
  <dcterms:created xsi:type="dcterms:W3CDTF">2025-02-13T15:58:00Z</dcterms:created>
  <dcterms:modified xsi:type="dcterms:W3CDTF">2025-02-14T13:25:00Z</dcterms:modified>
</cp:coreProperties>
</file>