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AA4A" w14:textId="77777777" w:rsidR="00BE7B90" w:rsidRPr="00C34AED" w:rsidRDefault="00BE7B90" w:rsidP="00585E3C">
      <w:pPr>
        <w:jc w:val="both"/>
        <w:rPr>
          <w:rFonts w:ascii="Verdana" w:hAnsi="Verdana" w:cs="Arial"/>
          <w:sz w:val="18"/>
          <w:szCs w:val="18"/>
        </w:rPr>
      </w:pPr>
    </w:p>
    <w:p w14:paraId="1F4D5232" w14:textId="77777777" w:rsidR="00BE7B90" w:rsidRPr="00C34AED" w:rsidRDefault="00BE7B90" w:rsidP="00585E3C">
      <w:pPr>
        <w:jc w:val="both"/>
        <w:rPr>
          <w:rFonts w:ascii="Verdana" w:hAnsi="Verdana" w:cs="Arial"/>
          <w:sz w:val="18"/>
          <w:szCs w:val="18"/>
        </w:rPr>
      </w:pPr>
    </w:p>
    <w:p w14:paraId="4E30BFDD" w14:textId="71C84E3E" w:rsidR="00415774" w:rsidRPr="00143AA4" w:rsidRDefault="00415774" w:rsidP="00415774">
      <w:pPr>
        <w:contextualSpacing/>
        <w:jc w:val="both"/>
        <w:rPr>
          <w:rFonts w:ascii="Verdana" w:hAnsi="Verdana"/>
          <w:bCs/>
          <w:sz w:val="18"/>
          <w:szCs w:val="18"/>
        </w:rPr>
      </w:pPr>
      <w:r w:rsidRPr="00A7233C">
        <w:rPr>
          <w:rFonts w:ascii="Verdana" w:hAnsi="Verdana"/>
          <w:b/>
          <w:sz w:val="18"/>
          <w:szCs w:val="18"/>
        </w:rPr>
        <w:t>PUBLICAD</w:t>
      </w:r>
      <w:r>
        <w:rPr>
          <w:rFonts w:ascii="Verdana" w:hAnsi="Verdana"/>
          <w:b/>
          <w:sz w:val="18"/>
          <w:szCs w:val="18"/>
        </w:rPr>
        <w:t>A NO DOE n. 11.546</w:t>
      </w:r>
      <w:r>
        <w:rPr>
          <w:rFonts w:ascii="Verdana" w:hAnsi="Verdana"/>
          <w:b/>
          <w:sz w:val="18"/>
          <w:szCs w:val="18"/>
        </w:rPr>
        <w:t>,</w:t>
      </w:r>
      <w:r w:rsidRPr="00A7233C">
        <w:rPr>
          <w:rFonts w:ascii="Verdana" w:hAnsi="Verdana"/>
          <w:b/>
          <w:sz w:val="18"/>
          <w:szCs w:val="18"/>
        </w:rPr>
        <w:t xml:space="preserve"> de </w:t>
      </w:r>
      <w:r>
        <w:rPr>
          <w:rFonts w:ascii="Verdana" w:hAnsi="Verdana"/>
          <w:b/>
          <w:sz w:val="18"/>
          <w:szCs w:val="18"/>
        </w:rPr>
        <w:t>5</w:t>
      </w:r>
      <w:r w:rsidRPr="00A7233C">
        <w:rPr>
          <w:rFonts w:ascii="Verdana" w:hAnsi="Verdana"/>
          <w:b/>
          <w:sz w:val="18"/>
          <w:szCs w:val="18"/>
        </w:rPr>
        <w:t>/</w:t>
      </w:r>
      <w:r>
        <w:rPr>
          <w:rFonts w:ascii="Verdana" w:hAnsi="Verdana"/>
          <w:b/>
          <w:sz w:val="18"/>
          <w:szCs w:val="18"/>
        </w:rPr>
        <w:t>7/204</w:t>
      </w:r>
      <w:r w:rsidRPr="00A7233C">
        <w:rPr>
          <w:rFonts w:ascii="Verdana" w:hAnsi="Verdana"/>
          <w:b/>
          <w:sz w:val="18"/>
          <w:szCs w:val="18"/>
        </w:rPr>
        <w:t>, p.</w:t>
      </w:r>
      <w:r>
        <w:rPr>
          <w:rFonts w:ascii="Verdana" w:hAnsi="Verdana"/>
          <w:b/>
          <w:sz w:val="18"/>
          <w:szCs w:val="18"/>
        </w:rPr>
        <w:t xml:space="preserve"> </w:t>
      </w:r>
      <w:r>
        <w:rPr>
          <w:rFonts w:ascii="Verdana" w:hAnsi="Verdana"/>
          <w:b/>
          <w:sz w:val="18"/>
          <w:szCs w:val="18"/>
        </w:rPr>
        <w:t>10/11/12</w:t>
      </w:r>
      <w:bookmarkStart w:id="0" w:name="_GoBack"/>
      <w:bookmarkEnd w:id="0"/>
      <w:r>
        <w:rPr>
          <w:rFonts w:ascii="Verdana" w:hAnsi="Verdana"/>
          <w:b/>
          <w:sz w:val="18"/>
          <w:szCs w:val="18"/>
        </w:rPr>
        <w:t>.</w:t>
      </w:r>
    </w:p>
    <w:p w14:paraId="7202ACAA" w14:textId="712D1F41" w:rsidR="00585E3C" w:rsidRDefault="00585E3C" w:rsidP="00585E3C">
      <w:pPr>
        <w:jc w:val="both"/>
        <w:rPr>
          <w:rFonts w:ascii="Verdana" w:hAnsi="Verdana" w:cs="Arial"/>
          <w:sz w:val="18"/>
          <w:szCs w:val="18"/>
        </w:rPr>
      </w:pPr>
      <w:r w:rsidRPr="00C34AED">
        <w:rPr>
          <w:rFonts w:ascii="Verdana" w:hAnsi="Verdana" w:cs="Arial"/>
          <w:sz w:val="18"/>
          <w:szCs w:val="18"/>
        </w:rPr>
        <w:t>RESOLUÇÃO/TAT/MS Nº</w:t>
      </w:r>
      <w:r w:rsidR="00072B1C" w:rsidRPr="00C34AED">
        <w:rPr>
          <w:rFonts w:ascii="Verdana" w:hAnsi="Verdana" w:cs="Arial"/>
          <w:sz w:val="18"/>
          <w:szCs w:val="18"/>
        </w:rPr>
        <w:t xml:space="preserve"> </w:t>
      </w:r>
      <w:r w:rsidR="00C34AED">
        <w:rPr>
          <w:rFonts w:ascii="Verdana" w:hAnsi="Verdana" w:cs="Arial"/>
          <w:sz w:val="18"/>
          <w:szCs w:val="18"/>
        </w:rPr>
        <w:t>13/2024, DE 4 DE JULHO DE 2024.</w:t>
      </w:r>
    </w:p>
    <w:p w14:paraId="6BA6D79D" w14:textId="77777777" w:rsidR="00585E3C" w:rsidRPr="00C34AED" w:rsidRDefault="00585E3C" w:rsidP="00585E3C">
      <w:pPr>
        <w:ind w:left="4253"/>
        <w:jc w:val="both"/>
        <w:rPr>
          <w:rFonts w:ascii="Verdana" w:hAnsi="Verdana" w:cs="Arial"/>
          <w:i/>
          <w:sz w:val="18"/>
          <w:szCs w:val="18"/>
        </w:rPr>
      </w:pPr>
    </w:p>
    <w:p w14:paraId="404EDDE1" w14:textId="77777777" w:rsidR="00BE7B90" w:rsidRPr="00C34AED" w:rsidRDefault="00BE7B90" w:rsidP="008E0962">
      <w:pPr>
        <w:ind w:left="4253"/>
        <w:jc w:val="both"/>
        <w:rPr>
          <w:rFonts w:ascii="Verdana" w:hAnsi="Verdana" w:cs="Arial"/>
          <w:i/>
          <w:sz w:val="18"/>
          <w:szCs w:val="18"/>
        </w:rPr>
      </w:pPr>
    </w:p>
    <w:p w14:paraId="472F0B03" w14:textId="1E54B182" w:rsidR="008E0962" w:rsidRPr="00C34AED" w:rsidRDefault="002C3441" w:rsidP="008E0962">
      <w:pPr>
        <w:ind w:left="4253"/>
        <w:jc w:val="both"/>
        <w:rPr>
          <w:rFonts w:ascii="Verdana" w:hAnsi="Verdana" w:cs="Arial"/>
          <w:i/>
          <w:sz w:val="18"/>
          <w:szCs w:val="18"/>
        </w:rPr>
      </w:pPr>
      <w:r w:rsidRPr="00C34AED">
        <w:rPr>
          <w:rFonts w:ascii="Verdana" w:hAnsi="Verdana" w:cs="Arial"/>
          <w:i/>
          <w:sz w:val="18"/>
          <w:szCs w:val="18"/>
        </w:rPr>
        <w:t>Altera e acrescenta dispositivos à</w:t>
      </w:r>
      <w:r w:rsidR="00BE7B90" w:rsidRPr="00C34AED">
        <w:rPr>
          <w:rFonts w:ascii="Verdana" w:hAnsi="Verdana" w:cs="Arial"/>
          <w:i/>
          <w:sz w:val="18"/>
          <w:szCs w:val="18"/>
        </w:rPr>
        <w:t xml:space="preserve"> Resolução/TAT n</w:t>
      </w:r>
      <w:r w:rsidR="0013359B" w:rsidRPr="00C34AED">
        <w:rPr>
          <w:rFonts w:ascii="Verdana" w:hAnsi="Verdana" w:cs="Arial"/>
          <w:i/>
          <w:sz w:val="18"/>
          <w:szCs w:val="18"/>
        </w:rPr>
        <w:t>.</w:t>
      </w:r>
      <w:r w:rsidR="00BE7B90" w:rsidRPr="00C34AED">
        <w:rPr>
          <w:rFonts w:ascii="Verdana" w:hAnsi="Verdana" w:cs="Arial"/>
          <w:i/>
          <w:sz w:val="18"/>
          <w:szCs w:val="18"/>
        </w:rPr>
        <w:t xml:space="preserve"> 2/2019, de 2 de abril de 2019, que estabelece dias e horários para realização de sessões, e à Resolução/TAT/</w:t>
      </w:r>
      <w:r w:rsidR="00DA65D8" w:rsidRPr="00C34AED">
        <w:rPr>
          <w:rFonts w:ascii="Verdana" w:hAnsi="Verdana" w:cs="Arial"/>
          <w:i/>
          <w:sz w:val="18"/>
          <w:szCs w:val="18"/>
        </w:rPr>
        <w:t>MS</w:t>
      </w:r>
      <w:r w:rsidR="00BE7B90" w:rsidRPr="00C34AED">
        <w:rPr>
          <w:rFonts w:ascii="Verdana" w:hAnsi="Verdana" w:cs="Arial"/>
          <w:i/>
          <w:sz w:val="18"/>
          <w:szCs w:val="18"/>
        </w:rPr>
        <w:t xml:space="preserve"> n</w:t>
      </w:r>
      <w:r w:rsidR="0013359B" w:rsidRPr="00C34AED">
        <w:rPr>
          <w:rFonts w:ascii="Verdana" w:hAnsi="Verdana" w:cs="Arial"/>
          <w:i/>
          <w:sz w:val="18"/>
          <w:szCs w:val="18"/>
        </w:rPr>
        <w:t>.</w:t>
      </w:r>
      <w:r w:rsidR="00BE7B90" w:rsidRPr="00C34AED">
        <w:rPr>
          <w:rFonts w:ascii="Verdana" w:hAnsi="Verdana" w:cs="Arial"/>
          <w:i/>
          <w:sz w:val="18"/>
          <w:szCs w:val="18"/>
        </w:rPr>
        <w:t xml:space="preserve"> 9, </w:t>
      </w:r>
      <w:r w:rsidR="00BC481D" w:rsidRPr="00C34AED">
        <w:rPr>
          <w:rFonts w:ascii="Verdana" w:hAnsi="Verdana" w:cs="Arial"/>
          <w:i/>
          <w:sz w:val="18"/>
          <w:szCs w:val="18"/>
        </w:rPr>
        <w:t>de 14 de dezembro de 2022</w:t>
      </w:r>
      <w:r w:rsidR="003D3F05" w:rsidRPr="00C34AED">
        <w:rPr>
          <w:rFonts w:ascii="Verdana" w:hAnsi="Verdana" w:cs="Arial"/>
          <w:i/>
          <w:sz w:val="18"/>
          <w:szCs w:val="18"/>
        </w:rPr>
        <w:t>, que d</w:t>
      </w:r>
      <w:r w:rsidR="008E0962" w:rsidRPr="00C34AED">
        <w:rPr>
          <w:rFonts w:ascii="Verdana" w:hAnsi="Verdana" w:cs="Arial"/>
          <w:i/>
          <w:sz w:val="18"/>
          <w:szCs w:val="18"/>
        </w:rPr>
        <w:t>esigna conselheiros titulares para a composição das Câmaras de Julgamento do Tribunal Administrativo Tributário do Estado de Mato Grosso do Sul e dá outras providências.</w:t>
      </w:r>
    </w:p>
    <w:p w14:paraId="72C64854" w14:textId="77777777" w:rsidR="008E0962" w:rsidRPr="00C34AED" w:rsidRDefault="008E0962" w:rsidP="008E0962">
      <w:pPr>
        <w:ind w:left="4253"/>
        <w:jc w:val="both"/>
        <w:rPr>
          <w:rFonts w:ascii="Verdana" w:hAnsi="Verdana" w:cs="Arial"/>
          <w:i/>
          <w:sz w:val="18"/>
          <w:szCs w:val="18"/>
        </w:rPr>
      </w:pPr>
    </w:p>
    <w:p w14:paraId="1F169667" w14:textId="77777777" w:rsidR="00BE7B90" w:rsidRPr="00C34AED" w:rsidRDefault="00BE7B90" w:rsidP="00613F92">
      <w:pPr>
        <w:ind w:firstLine="1418"/>
        <w:jc w:val="both"/>
        <w:rPr>
          <w:rFonts w:ascii="Verdana" w:hAnsi="Verdana" w:cs="Arial"/>
          <w:sz w:val="18"/>
          <w:szCs w:val="18"/>
        </w:rPr>
      </w:pPr>
    </w:p>
    <w:p w14:paraId="08B7992B" w14:textId="4889BF85" w:rsidR="00BE7B90" w:rsidRPr="00C34AED" w:rsidRDefault="00BE7B90" w:rsidP="00613F92">
      <w:pPr>
        <w:ind w:firstLine="1418"/>
        <w:jc w:val="both"/>
        <w:rPr>
          <w:rFonts w:ascii="Verdana" w:hAnsi="Verdana" w:cs="Arial"/>
          <w:sz w:val="18"/>
          <w:szCs w:val="18"/>
        </w:rPr>
      </w:pPr>
      <w:r w:rsidRPr="00C34AED">
        <w:rPr>
          <w:rFonts w:ascii="Verdana" w:hAnsi="Verdana" w:cs="Arial"/>
          <w:sz w:val="18"/>
          <w:szCs w:val="18"/>
        </w:rPr>
        <w:t xml:space="preserve">O PRESIDENTE DO TRIBUNAL ADMINISTRATIVO TRIBUTÁRIO DO ESTADO DE MATO GROSSO DO SUL, no uso das atribuições que lhe defere o art. 15 do </w:t>
      </w:r>
      <w:r w:rsidR="00987E3C" w:rsidRPr="00C34AED">
        <w:rPr>
          <w:rFonts w:ascii="Verdana" w:hAnsi="Verdana" w:cs="Arial"/>
          <w:sz w:val="18"/>
          <w:szCs w:val="18"/>
        </w:rPr>
        <w:t xml:space="preserve">Anexo I do </w:t>
      </w:r>
      <w:r w:rsidRPr="00C34AED">
        <w:rPr>
          <w:rFonts w:ascii="Verdana" w:hAnsi="Verdana" w:cs="Arial"/>
          <w:sz w:val="18"/>
          <w:szCs w:val="18"/>
        </w:rPr>
        <w:t>Decreto n</w:t>
      </w:r>
      <w:r w:rsidR="0013359B" w:rsidRPr="00C34AED">
        <w:rPr>
          <w:rFonts w:ascii="Verdana" w:hAnsi="Verdana" w:cs="Arial"/>
          <w:sz w:val="18"/>
          <w:szCs w:val="18"/>
        </w:rPr>
        <w:t>.</w:t>
      </w:r>
      <w:r w:rsidR="00AE4B23" w:rsidRPr="00C34AED">
        <w:rPr>
          <w:rFonts w:ascii="Verdana" w:hAnsi="Verdana" w:cs="Arial"/>
          <w:sz w:val="18"/>
          <w:szCs w:val="18"/>
        </w:rPr>
        <w:t xml:space="preserve"> </w:t>
      </w:r>
      <w:r w:rsidRPr="00C34AED">
        <w:rPr>
          <w:rFonts w:ascii="Verdana" w:hAnsi="Verdana" w:cs="Arial"/>
          <w:sz w:val="18"/>
          <w:szCs w:val="18"/>
        </w:rPr>
        <w:t>14.320, de 24 de novembro de 2015,</w:t>
      </w:r>
      <w:r w:rsidR="00DA65D8" w:rsidRPr="00C34AED">
        <w:rPr>
          <w:rFonts w:ascii="Verdana" w:hAnsi="Verdana" w:cs="Arial"/>
          <w:sz w:val="18"/>
          <w:szCs w:val="18"/>
        </w:rPr>
        <w:t xml:space="preserve"> e considerando as alterações introduzidas no </w:t>
      </w:r>
      <w:r w:rsidR="00987E3C" w:rsidRPr="00C34AED">
        <w:rPr>
          <w:rFonts w:ascii="Verdana" w:hAnsi="Verdana" w:cs="Arial"/>
          <w:sz w:val="18"/>
          <w:szCs w:val="18"/>
        </w:rPr>
        <w:t xml:space="preserve">referido </w:t>
      </w:r>
      <w:r w:rsidR="00DA65D8" w:rsidRPr="00C34AED">
        <w:rPr>
          <w:rFonts w:ascii="Verdana" w:hAnsi="Verdana" w:cs="Arial"/>
          <w:sz w:val="18"/>
          <w:szCs w:val="18"/>
        </w:rPr>
        <w:t>Anexo pelo Decreto n</w:t>
      </w:r>
      <w:r w:rsidR="0013359B" w:rsidRPr="00C34AED">
        <w:rPr>
          <w:rFonts w:ascii="Verdana" w:hAnsi="Verdana" w:cs="Arial"/>
          <w:sz w:val="18"/>
          <w:szCs w:val="18"/>
        </w:rPr>
        <w:t>.</w:t>
      </w:r>
      <w:r w:rsidR="00DA65D8" w:rsidRPr="00C34AED">
        <w:rPr>
          <w:rFonts w:ascii="Verdana" w:hAnsi="Verdana" w:cs="Arial"/>
          <w:sz w:val="18"/>
          <w:szCs w:val="18"/>
        </w:rPr>
        <w:t xml:space="preserve"> 16.406, de 20 de março de 2024,</w:t>
      </w:r>
    </w:p>
    <w:p w14:paraId="67852DDA" w14:textId="7B3CEA8B" w:rsidR="00C20D7E" w:rsidRPr="00C34AED" w:rsidRDefault="00C20D7E" w:rsidP="00613F92">
      <w:pPr>
        <w:ind w:firstLine="1418"/>
        <w:jc w:val="both"/>
        <w:rPr>
          <w:rFonts w:ascii="Verdana" w:hAnsi="Verdana" w:cs="Arial"/>
          <w:sz w:val="18"/>
          <w:szCs w:val="18"/>
        </w:rPr>
      </w:pPr>
    </w:p>
    <w:p w14:paraId="6AFEDB57" w14:textId="75E537F9" w:rsidR="00C20D7E" w:rsidRPr="00C34AED" w:rsidRDefault="00C20D7E" w:rsidP="00613F92">
      <w:pPr>
        <w:ind w:firstLine="1418"/>
        <w:jc w:val="both"/>
        <w:rPr>
          <w:rFonts w:ascii="Verdana" w:hAnsi="Verdana" w:cs="Arial"/>
          <w:sz w:val="18"/>
          <w:szCs w:val="18"/>
        </w:rPr>
      </w:pPr>
      <w:r w:rsidRPr="00C34AED">
        <w:rPr>
          <w:rFonts w:ascii="Verdana" w:hAnsi="Verdana" w:cs="Arial"/>
          <w:sz w:val="18"/>
          <w:szCs w:val="18"/>
        </w:rPr>
        <w:t>Considerando a necessidade de revisão de horários de realização de sessões do Tribunal Administrativo Tributário;</w:t>
      </w:r>
    </w:p>
    <w:p w14:paraId="4DFD5B6B" w14:textId="77777777" w:rsidR="003671FE" w:rsidRPr="00C34AED" w:rsidRDefault="003671FE" w:rsidP="00613F92">
      <w:pPr>
        <w:ind w:firstLine="1418"/>
        <w:jc w:val="both"/>
        <w:rPr>
          <w:rFonts w:ascii="Verdana" w:hAnsi="Verdana" w:cs="Arial"/>
          <w:sz w:val="18"/>
          <w:szCs w:val="18"/>
        </w:rPr>
      </w:pPr>
    </w:p>
    <w:p w14:paraId="0E60F6DB" w14:textId="74B74E2E" w:rsidR="003671FE" w:rsidRPr="00C34AED" w:rsidRDefault="003671FE" w:rsidP="00613F92">
      <w:pPr>
        <w:ind w:firstLine="1418"/>
        <w:jc w:val="both"/>
        <w:rPr>
          <w:rFonts w:ascii="Verdana" w:hAnsi="Verdana" w:cs="Arial"/>
          <w:color w:val="000000"/>
          <w:sz w:val="18"/>
          <w:szCs w:val="18"/>
          <w:shd w:val="clear" w:color="auto" w:fill="FFFFFF"/>
        </w:rPr>
      </w:pPr>
      <w:r w:rsidRPr="00C34AED">
        <w:rPr>
          <w:rFonts w:ascii="Verdana" w:hAnsi="Verdana" w:cs="Arial"/>
          <w:color w:val="000000"/>
          <w:sz w:val="18"/>
          <w:szCs w:val="18"/>
          <w:shd w:val="clear" w:color="auto" w:fill="FFFFFF"/>
        </w:rPr>
        <w:t>Considerando o Decreto “P” n</w:t>
      </w:r>
      <w:r w:rsidR="0013359B" w:rsidRPr="00C34AED">
        <w:rPr>
          <w:rFonts w:ascii="Verdana" w:hAnsi="Verdana" w:cs="Arial"/>
          <w:color w:val="000000"/>
          <w:sz w:val="18"/>
          <w:szCs w:val="18"/>
          <w:shd w:val="clear" w:color="auto" w:fill="FFFFFF"/>
        </w:rPr>
        <w:t>.</w:t>
      </w:r>
      <w:r w:rsidRPr="00C34AED">
        <w:rPr>
          <w:rFonts w:ascii="Verdana" w:hAnsi="Verdana" w:cs="Arial"/>
          <w:color w:val="000000"/>
          <w:sz w:val="18"/>
          <w:szCs w:val="18"/>
          <w:shd w:val="clear" w:color="auto" w:fill="FFFFFF"/>
        </w:rPr>
        <w:t xml:space="preserve"> 422, de 28 de maio de 2024, pelo qual se exone</w:t>
      </w:r>
      <w:r w:rsidR="003A58A0" w:rsidRPr="00C34AED">
        <w:rPr>
          <w:rFonts w:ascii="Verdana" w:hAnsi="Verdana" w:cs="Arial"/>
          <w:color w:val="000000"/>
          <w:sz w:val="18"/>
          <w:szCs w:val="18"/>
          <w:shd w:val="clear" w:color="auto" w:fill="FFFFFF"/>
        </w:rPr>
        <w:t>ra</w:t>
      </w:r>
      <w:r w:rsidRPr="00C34AED">
        <w:rPr>
          <w:rFonts w:ascii="Verdana" w:hAnsi="Verdana" w:cs="Arial"/>
          <w:color w:val="000000"/>
          <w:sz w:val="18"/>
          <w:szCs w:val="18"/>
          <w:shd w:val="clear" w:color="auto" w:fill="FFFFFF"/>
        </w:rPr>
        <w:t>ram membros do Tribunal Administrativo Tributário, bem como o Decreto “P” n</w:t>
      </w:r>
      <w:r w:rsidR="0013359B" w:rsidRPr="00C34AED">
        <w:rPr>
          <w:rFonts w:ascii="Verdana" w:hAnsi="Verdana" w:cs="Arial"/>
          <w:color w:val="000000"/>
          <w:sz w:val="18"/>
          <w:szCs w:val="18"/>
          <w:shd w:val="clear" w:color="auto" w:fill="FFFFFF"/>
        </w:rPr>
        <w:t>.</w:t>
      </w:r>
      <w:r w:rsidRPr="00C34AED">
        <w:rPr>
          <w:rFonts w:ascii="Verdana" w:hAnsi="Verdana" w:cs="Arial"/>
          <w:color w:val="000000"/>
          <w:sz w:val="18"/>
          <w:szCs w:val="18"/>
          <w:shd w:val="clear" w:color="auto" w:fill="FFFFFF"/>
        </w:rPr>
        <w:t xml:space="preserve"> 423, de 28 de maio de 2024, pelo qual se nomearam membros do referido Tribunal;</w:t>
      </w:r>
    </w:p>
    <w:p w14:paraId="38EAE788" w14:textId="77777777" w:rsidR="003671FE" w:rsidRPr="00C34AED" w:rsidRDefault="003671FE" w:rsidP="00613F92">
      <w:pPr>
        <w:ind w:firstLine="1418"/>
        <w:jc w:val="both"/>
        <w:rPr>
          <w:rFonts w:ascii="Verdana" w:hAnsi="Verdana" w:cs="Arial"/>
          <w:color w:val="000000"/>
          <w:sz w:val="18"/>
          <w:szCs w:val="18"/>
          <w:shd w:val="clear" w:color="auto" w:fill="FFFFFF"/>
        </w:rPr>
      </w:pPr>
    </w:p>
    <w:p w14:paraId="26C11A2F" w14:textId="4A1C9E45" w:rsidR="003671FE" w:rsidRPr="00C34AED" w:rsidRDefault="003671FE" w:rsidP="00613F92">
      <w:pPr>
        <w:ind w:firstLine="1418"/>
        <w:jc w:val="both"/>
        <w:rPr>
          <w:rFonts w:ascii="Verdana" w:hAnsi="Verdana" w:cs="Arial"/>
          <w:sz w:val="18"/>
          <w:szCs w:val="18"/>
          <w:shd w:val="clear" w:color="auto" w:fill="FFFFFF"/>
        </w:rPr>
      </w:pPr>
      <w:r w:rsidRPr="00C34AED">
        <w:rPr>
          <w:rFonts w:ascii="Verdana" w:hAnsi="Verdana" w:cs="Arial"/>
          <w:sz w:val="18"/>
          <w:szCs w:val="18"/>
        </w:rPr>
        <w:t>Considerando a decisão do Conselho Pleno na sessão realizada em 12 de junho de 2024, relativa à nova composição das Câmaras de Julgamento, em razão do disposto nos Decretos “P” n</w:t>
      </w:r>
      <w:r w:rsidR="0013359B" w:rsidRPr="00C34AED">
        <w:rPr>
          <w:rFonts w:ascii="Verdana" w:hAnsi="Verdana" w:cs="Arial"/>
          <w:sz w:val="18"/>
          <w:szCs w:val="18"/>
        </w:rPr>
        <w:t>.</w:t>
      </w:r>
      <w:r w:rsidRPr="00C34AED">
        <w:rPr>
          <w:rFonts w:ascii="Verdana" w:hAnsi="Verdana" w:cs="Arial"/>
          <w:sz w:val="18"/>
          <w:szCs w:val="18"/>
        </w:rPr>
        <w:t xml:space="preserve"> 422 e </w:t>
      </w:r>
      <w:r w:rsidR="0013359B" w:rsidRPr="00C34AED">
        <w:rPr>
          <w:rFonts w:ascii="Verdana" w:hAnsi="Verdana" w:cs="Arial"/>
          <w:sz w:val="18"/>
          <w:szCs w:val="18"/>
        </w:rPr>
        <w:t xml:space="preserve">n. </w:t>
      </w:r>
      <w:r w:rsidRPr="00C34AED">
        <w:rPr>
          <w:rFonts w:ascii="Verdana" w:hAnsi="Verdana" w:cs="Arial"/>
          <w:sz w:val="18"/>
          <w:szCs w:val="18"/>
        </w:rPr>
        <w:t>3, de 28 de maio de 2024,</w:t>
      </w:r>
    </w:p>
    <w:p w14:paraId="46707EF1" w14:textId="77777777" w:rsidR="003671FE" w:rsidRPr="00C34AED" w:rsidRDefault="003671FE" w:rsidP="00613F92">
      <w:pPr>
        <w:ind w:firstLine="1418"/>
        <w:jc w:val="both"/>
        <w:rPr>
          <w:rFonts w:ascii="Verdana" w:hAnsi="Verdana" w:cs="Arial"/>
          <w:sz w:val="18"/>
          <w:szCs w:val="18"/>
        </w:rPr>
      </w:pPr>
    </w:p>
    <w:p w14:paraId="64C2C22F" w14:textId="1E74CFE3" w:rsidR="003671FE" w:rsidRPr="00C34AED" w:rsidRDefault="003671FE" w:rsidP="00613F92">
      <w:pPr>
        <w:ind w:firstLine="1418"/>
        <w:jc w:val="both"/>
        <w:rPr>
          <w:rFonts w:ascii="Verdana" w:hAnsi="Verdana" w:cs="Arial"/>
          <w:sz w:val="18"/>
          <w:szCs w:val="18"/>
        </w:rPr>
      </w:pPr>
      <w:r w:rsidRPr="00C34AED">
        <w:rPr>
          <w:rFonts w:ascii="Verdana" w:hAnsi="Verdana" w:cs="Arial"/>
          <w:sz w:val="18"/>
          <w:szCs w:val="18"/>
        </w:rPr>
        <w:t>RESOLVE:</w:t>
      </w:r>
    </w:p>
    <w:p w14:paraId="025809BD" w14:textId="067A5C13" w:rsidR="00B46FDD" w:rsidRPr="00C34AED" w:rsidRDefault="00B46FDD" w:rsidP="00613F92">
      <w:pPr>
        <w:ind w:firstLine="1418"/>
        <w:jc w:val="both"/>
        <w:rPr>
          <w:rFonts w:ascii="Verdana" w:hAnsi="Verdana" w:cs="Arial"/>
          <w:sz w:val="18"/>
          <w:szCs w:val="18"/>
        </w:rPr>
      </w:pPr>
    </w:p>
    <w:p w14:paraId="3CB44AF0" w14:textId="1894C00A" w:rsidR="00B46FDD" w:rsidRPr="00C34AED" w:rsidRDefault="00B46FDD" w:rsidP="00613F92">
      <w:pPr>
        <w:ind w:firstLine="1418"/>
        <w:jc w:val="both"/>
        <w:rPr>
          <w:rFonts w:ascii="Verdana" w:hAnsi="Verdana" w:cs="Arial"/>
          <w:sz w:val="18"/>
          <w:szCs w:val="18"/>
        </w:rPr>
      </w:pPr>
      <w:r w:rsidRPr="00C34AED">
        <w:rPr>
          <w:rFonts w:ascii="Verdana" w:hAnsi="Verdana" w:cs="Arial"/>
          <w:sz w:val="18"/>
          <w:szCs w:val="18"/>
        </w:rPr>
        <w:t>Art. 1º A Resolução/TAT n</w:t>
      </w:r>
      <w:r w:rsidR="0013359B" w:rsidRPr="00C34AED">
        <w:rPr>
          <w:rFonts w:ascii="Verdana" w:hAnsi="Verdana" w:cs="Arial"/>
          <w:sz w:val="18"/>
          <w:szCs w:val="18"/>
        </w:rPr>
        <w:t>.</w:t>
      </w:r>
      <w:r w:rsidRPr="00C34AED">
        <w:rPr>
          <w:rFonts w:ascii="Verdana" w:hAnsi="Verdana" w:cs="Arial"/>
          <w:sz w:val="18"/>
          <w:szCs w:val="18"/>
        </w:rPr>
        <w:t xml:space="preserve"> 2/2019, de 2 de abril de 2019, passa a vigorar com os seguintes acréscimos:</w:t>
      </w:r>
    </w:p>
    <w:p w14:paraId="6BABB1C0" w14:textId="77777777" w:rsidR="00B46FDD" w:rsidRPr="00C34AED" w:rsidRDefault="00B46FDD" w:rsidP="00B46FDD">
      <w:pPr>
        <w:ind w:firstLine="709"/>
        <w:jc w:val="both"/>
        <w:rPr>
          <w:rFonts w:ascii="Verdana" w:hAnsi="Verdana" w:cs="Arial"/>
          <w:sz w:val="18"/>
          <w:szCs w:val="18"/>
        </w:rPr>
      </w:pPr>
    </w:p>
    <w:p w14:paraId="055C404F" w14:textId="77777777" w:rsidR="00B46FDD" w:rsidRPr="00C34AED" w:rsidRDefault="00B46FDD" w:rsidP="00B46FDD">
      <w:pPr>
        <w:ind w:leftChars="708" w:left="1699"/>
        <w:jc w:val="both"/>
        <w:rPr>
          <w:rFonts w:ascii="Verdana" w:hAnsi="Verdana"/>
          <w:sz w:val="18"/>
          <w:szCs w:val="18"/>
        </w:rPr>
      </w:pPr>
      <w:r w:rsidRPr="00C34AED">
        <w:rPr>
          <w:rFonts w:ascii="Verdana" w:hAnsi="Verdana"/>
          <w:sz w:val="18"/>
          <w:szCs w:val="18"/>
        </w:rPr>
        <w:t>“Art. 1º ............................</w:t>
      </w:r>
    </w:p>
    <w:p w14:paraId="3F1BBF29" w14:textId="77777777" w:rsidR="00B46FDD" w:rsidRPr="00C34AED" w:rsidRDefault="00B46FDD" w:rsidP="00B46FDD">
      <w:pPr>
        <w:ind w:leftChars="708" w:left="1699"/>
        <w:jc w:val="both"/>
        <w:rPr>
          <w:rFonts w:ascii="Verdana" w:hAnsi="Verdana"/>
          <w:i/>
          <w:sz w:val="18"/>
          <w:szCs w:val="18"/>
        </w:rPr>
      </w:pPr>
    </w:p>
    <w:p w14:paraId="26816508" w14:textId="77777777" w:rsidR="00B46FDD" w:rsidRPr="00C34AED" w:rsidRDefault="00B46FDD" w:rsidP="00B46FDD">
      <w:pPr>
        <w:ind w:leftChars="708" w:left="1699"/>
        <w:jc w:val="both"/>
        <w:rPr>
          <w:rFonts w:ascii="Verdana" w:hAnsi="Verdana"/>
          <w:i/>
          <w:sz w:val="18"/>
          <w:szCs w:val="18"/>
        </w:rPr>
      </w:pPr>
      <w:r w:rsidRPr="00C34AED">
        <w:rPr>
          <w:rFonts w:ascii="Verdana" w:hAnsi="Verdana"/>
          <w:i/>
          <w:sz w:val="18"/>
          <w:szCs w:val="18"/>
        </w:rPr>
        <w:t>.........................................</w:t>
      </w:r>
    </w:p>
    <w:p w14:paraId="4D0DB547" w14:textId="77777777" w:rsidR="00B46FDD" w:rsidRPr="00C34AED" w:rsidRDefault="00B46FDD" w:rsidP="00B46FDD">
      <w:pPr>
        <w:ind w:leftChars="708" w:left="1699"/>
        <w:jc w:val="both"/>
        <w:rPr>
          <w:rFonts w:ascii="Verdana" w:hAnsi="Verdana"/>
          <w:i/>
          <w:sz w:val="18"/>
          <w:szCs w:val="18"/>
        </w:rPr>
      </w:pPr>
    </w:p>
    <w:p w14:paraId="21F048AD" w14:textId="4D99C9BC" w:rsidR="00B46FDD" w:rsidRPr="00C34AED" w:rsidRDefault="00B46FDD" w:rsidP="00226D4B">
      <w:pPr>
        <w:pStyle w:val="NormalWeb"/>
        <w:spacing w:before="0" w:beforeAutospacing="0" w:after="0" w:afterAutospacing="0"/>
        <w:ind w:leftChars="708" w:left="1699"/>
        <w:jc w:val="both"/>
        <w:rPr>
          <w:rFonts w:ascii="Verdana" w:hAnsi="Verdana"/>
          <w:color w:val="000000"/>
          <w:sz w:val="18"/>
          <w:szCs w:val="18"/>
        </w:rPr>
      </w:pPr>
      <w:r w:rsidRPr="00C34AED">
        <w:rPr>
          <w:rFonts w:ascii="Verdana" w:hAnsi="Verdana"/>
          <w:color w:val="000000"/>
          <w:sz w:val="18"/>
          <w:szCs w:val="18"/>
        </w:rPr>
        <w:t>§ 1º-A Na</w:t>
      </w:r>
      <w:r w:rsidR="00853611" w:rsidRPr="00C34AED">
        <w:rPr>
          <w:rFonts w:ascii="Verdana" w:hAnsi="Verdana"/>
          <w:color w:val="000000"/>
          <w:sz w:val="18"/>
          <w:szCs w:val="18"/>
        </w:rPr>
        <w:t>s</w:t>
      </w:r>
      <w:r w:rsidRPr="00C34AED">
        <w:rPr>
          <w:rFonts w:ascii="Verdana" w:hAnsi="Verdana"/>
          <w:color w:val="000000"/>
          <w:sz w:val="18"/>
          <w:szCs w:val="18"/>
        </w:rPr>
        <w:t xml:space="preserve"> segunda</w:t>
      </w:r>
      <w:r w:rsidR="00853611" w:rsidRPr="00C34AED">
        <w:rPr>
          <w:rFonts w:ascii="Verdana" w:hAnsi="Verdana"/>
          <w:color w:val="000000"/>
          <w:sz w:val="18"/>
          <w:szCs w:val="18"/>
        </w:rPr>
        <w:t>s</w:t>
      </w:r>
      <w:r w:rsidRPr="00C34AED">
        <w:rPr>
          <w:rFonts w:ascii="Verdana" w:hAnsi="Verdana"/>
          <w:color w:val="000000"/>
          <w:sz w:val="18"/>
          <w:szCs w:val="18"/>
        </w:rPr>
        <w:t xml:space="preserve"> e </w:t>
      </w:r>
      <w:r w:rsidR="00C20D7E" w:rsidRPr="00C34AED">
        <w:rPr>
          <w:rFonts w:ascii="Verdana" w:hAnsi="Verdana"/>
          <w:color w:val="000000"/>
          <w:sz w:val="18"/>
          <w:szCs w:val="18"/>
        </w:rPr>
        <w:t>na</w:t>
      </w:r>
      <w:r w:rsidR="00853611" w:rsidRPr="00C34AED">
        <w:rPr>
          <w:rFonts w:ascii="Verdana" w:hAnsi="Verdana"/>
          <w:color w:val="000000"/>
          <w:sz w:val="18"/>
          <w:szCs w:val="18"/>
        </w:rPr>
        <w:t>s</w:t>
      </w:r>
      <w:r w:rsidR="00C20D7E" w:rsidRPr="00C34AED">
        <w:rPr>
          <w:rFonts w:ascii="Verdana" w:hAnsi="Verdana"/>
          <w:color w:val="000000"/>
          <w:sz w:val="18"/>
          <w:szCs w:val="18"/>
        </w:rPr>
        <w:t xml:space="preserve"> </w:t>
      </w:r>
      <w:r w:rsidRPr="00C34AED">
        <w:rPr>
          <w:rFonts w:ascii="Verdana" w:hAnsi="Verdana"/>
          <w:color w:val="000000"/>
          <w:sz w:val="18"/>
          <w:szCs w:val="18"/>
        </w:rPr>
        <w:t>terça</w:t>
      </w:r>
      <w:r w:rsidR="00853611" w:rsidRPr="00C34AED">
        <w:rPr>
          <w:rFonts w:ascii="Verdana" w:hAnsi="Verdana"/>
          <w:color w:val="000000"/>
          <w:sz w:val="18"/>
          <w:szCs w:val="18"/>
        </w:rPr>
        <w:t>s</w:t>
      </w:r>
      <w:r w:rsidRPr="00C34AED">
        <w:rPr>
          <w:rFonts w:ascii="Verdana" w:hAnsi="Verdana"/>
          <w:color w:val="000000"/>
          <w:sz w:val="18"/>
          <w:szCs w:val="18"/>
        </w:rPr>
        <w:t>-feira</w:t>
      </w:r>
      <w:r w:rsidR="00853611" w:rsidRPr="00C34AED">
        <w:rPr>
          <w:rFonts w:ascii="Verdana" w:hAnsi="Verdana"/>
          <w:color w:val="000000"/>
          <w:sz w:val="18"/>
          <w:szCs w:val="18"/>
        </w:rPr>
        <w:t>s</w:t>
      </w:r>
      <w:r w:rsidRPr="00C34AED">
        <w:rPr>
          <w:rFonts w:ascii="Verdana" w:hAnsi="Verdana"/>
          <w:color w:val="000000"/>
          <w:sz w:val="18"/>
          <w:szCs w:val="18"/>
        </w:rPr>
        <w:t>, as sessões podem ser iniciadas às dezesseis horas e trinta minutos</w:t>
      </w:r>
      <w:r w:rsidR="0070195F" w:rsidRPr="00C34AED">
        <w:rPr>
          <w:rFonts w:ascii="Verdana" w:hAnsi="Verdana"/>
          <w:color w:val="000000"/>
          <w:sz w:val="18"/>
          <w:szCs w:val="18"/>
        </w:rPr>
        <w:t xml:space="preserve"> e encerradas às vinte horas e quinze</w:t>
      </w:r>
      <w:r w:rsidRPr="00C34AED">
        <w:rPr>
          <w:rFonts w:ascii="Verdana" w:hAnsi="Verdana"/>
          <w:color w:val="000000"/>
          <w:sz w:val="18"/>
          <w:szCs w:val="18"/>
        </w:rPr>
        <w:t xml:space="preserve"> minutos.</w:t>
      </w:r>
    </w:p>
    <w:p w14:paraId="1A20CD32" w14:textId="77777777" w:rsidR="00B46FDD" w:rsidRPr="00C34AED" w:rsidRDefault="00B46FDD" w:rsidP="00B46FDD">
      <w:pPr>
        <w:ind w:leftChars="708" w:left="1699"/>
        <w:jc w:val="both"/>
        <w:rPr>
          <w:rFonts w:ascii="Verdana" w:hAnsi="Verdana"/>
          <w:sz w:val="18"/>
          <w:szCs w:val="18"/>
        </w:rPr>
      </w:pPr>
    </w:p>
    <w:p w14:paraId="776CC16A" w14:textId="20C685FF" w:rsidR="00B46FDD" w:rsidRPr="00C34AED" w:rsidRDefault="00B46FDD" w:rsidP="00B46FDD">
      <w:pPr>
        <w:ind w:leftChars="708" w:left="1699"/>
        <w:jc w:val="both"/>
        <w:rPr>
          <w:rFonts w:ascii="Verdana" w:hAnsi="Verdana"/>
          <w:sz w:val="18"/>
          <w:szCs w:val="18"/>
        </w:rPr>
      </w:pPr>
      <w:r w:rsidRPr="00C34AED">
        <w:rPr>
          <w:rFonts w:ascii="Verdana" w:hAnsi="Verdana"/>
          <w:sz w:val="18"/>
          <w:szCs w:val="18"/>
        </w:rPr>
        <w:t>.........................................</w:t>
      </w:r>
    </w:p>
    <w:p w14:paraId="2244FFF0" w14:textId="77777777" w:rsidR="00B46FDD" w:rsidRPr="00C34AED" w:rsidRDefault="00B46FDD" w:rsidP="00B46FDD">
      <w:pPr>
        <w:ind w:leftChars="708" w:left="1699"/>
        <w:jc w:val="both"/>
        <w:rPr>
          <w:rFonts w:ascii="Verdana" w:hAnsi="Verdana"/>
          <w:sz w:val="18"/>
          <w:szCs w:val="18"/>
        </w:rPr>
      </w:pPr>
    </w:p>
    <w:p w14:paraId="4C1B5A8D" w14:textId="77777777" w:rsidR="00B46FDD" w:rsidRPr="00C34AED" w:rsidRDefault="00B46FDD" w:rsidP="00D17B72">
      <w:pPr>
        <w:ind w:leftChars="708" w:left="1699"/>
        <w:jc w:val="both"/>
        <w:rPr>
          <w:rFonts w:ascii="Verdana" w:hAnsi="Verdana"/>
          <w:sz w:val="18"/>
          <w:szCs w:val="18"/>
        </w:rPr>
      </w:pPr>
      <w:r w:rsidRPr="00C34AED">
        <w:rPr>
          <w:rFonts w:ascii="Verdana" w:hAnsi="Verdana"/>
          <w:sz w:val="18"/>
          <w:szCs w:val="18"/>
        </w:rPr>
        <w:t xml:space="preserve">§ 3º Observado o limite previsto no § 2º deste artigo, somente serão incluídos na pauta de julgamento processos cuja restituição, para essa finalidade, ocorrer até às quinze horas do dia do seu encaminhamento para publicação no Diário Oficial do </w:t>
      </w:r>
      <w:proofErr w:type="gramStart"/>
      <w:r w:rsidRPr="00C34AED">
        <w:rPr>
          <w:rFonts w:ascii="Verdana" w:hAnsi="Verdana"/>
          <w:sz w:val="18"/>
          <w:szCs w:val="18"/>
        </w:rPr>
        <w:t>Estado.”</w:t>
      </w:r>
      <w:proofErr w:type="gramEnd"/>
      <w:r w:rsidRPr="00C34AED">
        <w:rPr>
          <w:rFonts w:ascii="Verdana" w:hAnsi="Verdana"/>
          <w:sz w:val="18"/>
          <w:szCs w:val="18"/>
        </w:rPr>
        <w:t xml:space="preserve"> (NR)</w:t>
      </w:r>
    </w:p>
    <w:p w14:paraId="7FEDF56E" w14:textId="77777777" w:rsidR="00B46FDD" w:rsidRPr="00C34AED" w:rsidRDefault="00B46FDD" w:rsidP="003671FE">
      <w:pPr>
        <w:ind w:firstLine="1418"/>
        <w:jc w:val="both"/>
        <w:rPr>
          <w:rFonts w:ascii="Verdana" w:hAnsi="Verdana" w:cs="Arial"/>
          <w:sz w:val="18"/>
          <w:szCs w:val="18"/>
        </w:rPr>
      </w:pPr>
    </w:p>
    <w:p w14:paraId="251CAB2B" w14:textId="77777777" w:rsidR="00294B41" w:rsidRPr="00C34AED" w:rsidRDefault="00294B41" w:rsidP="00B46FDD">
      <w:pPr>
        <w:ind w:firstLine="1418"/>
        <w:jc w:val="both"/>
        <w:rPr>
          <w:rFonts w:ascii="Verdana" w:hAnsi="Verdana" w:cs="Arial"/>
          <w:color w:val="000000"/>
          <w:sz w:val="18"/>
          <w:szCs w:val="18"/>
        </w:rPr>
      </w:pPr>
    </w:p>
    <w:p w14:paraId="2D2ECFF5" w14:textId="027A33AA" w:rsidR="00B46FDD" w:rsidRPr="00C34AED" w:rsidRDefault="0013359B" w:rsidP="00B46FDD">
      <w:pPr>
        <w:ind w:firstLine="1418"/>
        <w:jc w:val="both"/>
        <w:rPr>
          <w:rFonts w:ascii="Verdana" w:hAnsi="Verdana" w:cs="Arial"/>
          <w:sz w:val="18"/>
          <w:szCs w:val="18"/>
        </w:rPr>
      </w:pPr>
      <w:r w:rsidRPr="00C34AED">
        <w:rPr>
          <w:rFonts w:ascii="Verdana" w:hAnsi="Verdana" w:cs="Arial"/>
          <w:color w:val="000000"/>
          <w:sz w:val="18"/>
          <w:szCs w:val="18"/>
        </w:rPr>
        <w:t>Art. 2º A Resolução/TAT/MS n.</w:t>
      </w:r>
      <w:r w:rsidR="00B46FDD" w:rsidRPr="00C34AED">
        <w:rPr>
          <w:rFonts w:ascii="Verdana" w:hAnsi="Verdana" w:cs="Arial"/>
          <w:color w:val="000000"/>
          <w:sz w:val="18"/>
          <w:szCs w:val="18"/>
        </w:rPr>
        <w:t xml:space="preserve"> 9/2022, de 14 de dezembro de 2022, passa a vigorar com os seguintes acréscimos e alterações:</w:t>
      </w:r>
    </w:p>
    <w:p w14:paraId="0E711B89" w14:textId="77777777" w:rsidR="003671FE" w:rsidRPr="00C34AED" w:rsidRDefault="003671FE" w:rsidP="003671FE">
      <w:pPr>
        <w:ind w:firstLine="1418"/>
        <w:jc w:val="both"/>
        <w:rPr>
          <w:rFonts w:ascii="Verdana" w:hAnsi="Verdana" w:cs="Arial"/>
          <w:color w:val="1F4E79" w:themeColor="accent1" w:themeShade="80"/>
          <w:sz w:val="18"/>
          <w:szCs w:val="18"/>
        </w:rPr>
      </w:pPr>
    </w:p>
    <w:p w14:paraId="243A00F5" w14:textId="77777777" w:rsidR="003671FE" w:rsidRPr="00C34AED" w:rsidRDefault="003671FE" w:rsidP="003671FE">
      <w:pPr>
        <w:ind w:left="1701"/>
        <w:jc w:val="both"/>
        <w:rPr>
          <w:rFonts w:ascii="Verdana" w:hAnsi="Verdana"/>
          <w:sz w:val="18"/>
          <w:szCs w:val="18"/>
        </w:rPr>
      </w:pPr>
      <w:r w:rsidRPr="00C34AED">
        <w:rPr>
          <w:rFonts w:ascii="Verdana" w:hAnsi="Verdana"/>
          <w:sz w:val="18"/>
          <w:szCs w:val="18"/>
        </w:rPr>
        <w:t>“Art. 1º ....................................:</w:t>
      </w:r>
    </w:p>
    <w:p w14:paraId="60437498" w14:textId="77777777" w:rsidR="003671FE" w:rsidRPr="00C34AED" w:rsidRDefault="003671FE" w:rsidP="003671FE">
      <w:pPr>
        <w:ind w:left="1701"/>
        <w:jc w:val="both"/>
        <w:rPr>
          <w:rFonts w:ascii="Verdana" w:hAnsi="Verdana"/>
          <w:sz w:val="18"/>
          <w:szCs w:val="18"/>
        </w:rPr>
      </w:pPr>
    </w:p>
    <w:p w14:paraId="16DCD0E6" w14:textId="77777777" w:rsidR="003671FE" w:rsidRPr="00C34AED" w:rsidRDefault="003671FE" w:rsidP="003671FE">
      <w:pPr>
        <w:ind w:left="1701"/>
        <w:jc w:val="both"/>
        <w:rPr>
          <w:rFonts w:ascii="Verdana" w:hAnsi="Verdana"/>
          <w:sz w:val="18"/>
          <w:szCs w:val="18"/>
        </w:rPr>
      </w:pPr>
      <w:r w:rsidRPr="00C34AED">
        <w:rPr>
          <w:rFonts w:ascii="Verdana" w:hAnsi="Verdana"/>
          <w:sz w:val="18"/>
          <w:szCs w:val="18"/>
        </w:rPr>
        <w:t>I - .............................................:</w:t>
      </w:r>
    </w:p>
    <w:p w14:paraId="3046CDB0"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274DB361"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b) Daniel Gaspar Luz Campos de Souza;</w:t>
      </w:r>
    </w:p>
    <w:p w14:paraId="6AE74CEE"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p>
    <w:p w14:paraId="467F253F" w14:textId="77777777" w:rsidR="003671FE" w:rsidRPr="00C34AED" w:rsidRDefault="003671FE" w:rsidP="003671FE">
      <w:pPr>
        <w:ind w:left="1701"/>
        <w:jc w:val="both"/>
        <w:rPr>
          <w:rFonts w:ascii="Verdana" w:hAnsi="Verdana"/>
          <w:sz w:val="18"/>
          <w:szCs w:val="18"/>
        </w:rPr>
      </w:pPr>
    </w:p>
    <w:p w14:paraId="16C4B330" w14:textId="07DBE0D0" w:rsidR="003671FE" w:rsidRPr="00C34AED" w:rsidRDefault="003671FE" w:rsidP="003671FE">
      <w:pPr>
        <w:ind w:left="1701"/>
        <w:jc w:val="both"/>
        <w:rPr>
          <w:rFonts w:ascii="Verdana" w:hAnsi="Verdana"/>
          <w:sz w:val="18"/>
          <w:szCs w:val="18"/>
        </w:rPr>
      </w:pPr>
      <w:r w:rsidRPr="00C34AED">
        <w:rPr>
          <w:rFonts w:ascii="Verdana" w:hAnsi="Verdana"/>
          <w:sz w:val="18"/>
          <w:szCs w:val="18"/>
        </w:rPr>
        <w:t>II - ...........................................:</w:t>
      </w:r>
    </w:p>
    <w:p w14:paraId="0B4F1C61"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75007F1D" w14:textId="77777777"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b) Felipe </w:t>
      </w:r>
      <w:proofErr w:type="spellStart"/>
      <w:r w:rsidRPr="00C34AED">
        <w:rPr>
          <w:rFonts w:ascii="Verdana" w:eastAsia="Times New Roman" w:hAnsi="Verdana" w:cs="Times New Roman"/>
          <w:sz w:val="18"/>
          <w:szCs w:val="18"/>
          <w:lang w:eastAsia="pt-BR"/>
        </w:rPr>
        <w:t>Cezário</w:t>
      </w:r>
      <w:proofErr w:type="spellEnd"/>
      <w:r w:rsidRPr="00C34AED">
        <w:rPr>
          <w:rFonts w:ascii="Verdana" w:eastAsia="Times New Roman" w:hAnsi="Verdana" w:cs="Times New Roman"/>
          <w:sz w:val="18"/>
          <w:szCs w:val="18"/>
          <w:lang w:eastAsia="pt-BR"/>
        </w:rPr>
        <w:t xml:space="preserve"> Guimarães Pereira;</w:t>
      </w:r>
    </w:p>
    <w:p w14:paraId="2F197F7C" w14:textId="281DF5E5"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p>
    <w:p w14:paraId="003C8CF2"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2DF7CBAC" w14:textId="62C28E8B" w:rsidR="003671FE" w:rsidRPr="00C34AED" w:rsidRDefault="003671FE" w:rsidP="00ED6B48">
      <w:pPr>
        <w:pStyle w:val="PargrafodaLista"/>
        <w:suppressAutoHyphens w:val="0"/>
        <w:spacing w:after="0" w:line="259" w:lineRule="auto"/>
        <w:ind w:left="0" w:firstLine="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lastRenderedPageBreak/>
        <w:t>§ 1º .........................................:</w:t>
      </w:r>
    </w:p>
    <w:p w14:paraId="164D6253" w14:textId="77777777" w:rsidR="003671FE" w:rsidRPr="00C34AED" w:rsidRDefault="003671FE" w:rsidP="003671FE">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31C1CE0A" w14:textId="7DDBC458" w:rsidR="003671FE" w:rsidRPr="00C34AED" w:rsidRDefault="003671FE" w:rsidP="003671FE">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I - ............................................:</w:t>
      </w:r>
    </w:p>
    <w:p w14:paraId="204A5236" w14:textId="77777777" w:rsidR="00ED6B48" w:rsidRPr="00C34AED" w:rsidRDefault="00ED6B48"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730A1ED6" w14:textId="263026B9"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a) Ana Paula Duarte Ferreira;</w:t>
      </w:r>
    </w:p>
    <w:p w14:paraId="735EB4F1" w14:textId="77777777" w:rsidR="00ED6B48" w:rsidRPr="00C34AED" w:rsidRDefault="00ED6B48"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664DE356" w14:textId="5E40B4A3"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b) Ewerton Cruz Cordeiro;</w:t>
      </w:r>
    </w:p>
    <w:p w14:paraId="1132CA96" w14:textId="77777777" w:rsidR="00ED6B48" w:rsidRPr="00C34AED" w:rsidRDefault="00ED6B48"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55175426" w14:textId="135078B1"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c) </w:t>
      </w:r>
      <w:proofErr w:type="spellStart"/>
      <w:r w:rsidRPr="00C34AED">
        <w:rPr>
          <w:rFonts w:ascii="Verdana" w:eastAsia="Times New Roman" w:hAnsi="Verdana" w:cs="Times New Roman"/>
          <w:sz w:val="18"/>
          <w:szCs w:val="18"/>
          <w:lang w:eastAsia="pt-BR"/>
        </w:rPr>
        <w:t>Valgney</w:t>
      </w:r>
      <w:proofErr w:type="spellEnd"/>
      <w:r w:rsidRPr="00C34AED">
        <w:rPr>
          <w:rFonts w:ascii="Verdana" w:eastAsia="Times New Roman" w:hAnsi="Verdana" w:cs="Times New Roman"/>
          <w:sz w:val="18"/>
          <w:szCs w:val="18"/>
          <w:lang w:eastAsia="pt-BR"/>
        </w:rPr>
        <w:t xml:space="preserve"> </w:t>
      </w:r>
      <w:proofErr w:type="spellStart"/>
      <w:r w:rsidRPr="00C34AED">
        <w:rPr>
          <w:rFonts w:ascii="Verdana" w:eastAsia="Times New Roman" w:hAnsi="Verdana" w:cs="Times New Roman"/>
          <w:sz w:val="18"/>
          <w:szCs w:val="18"/>
          <w:lang w:eastAsia="pt-BR"/>
        </w:rPr>
        <w:t>Cherri</w:t>
      </w:r>
      <w:proofErr w:type="spellEnd"/>
      <w:r w:rsidRPr="00C34AED">
        <w:rPr>
          <w:rFonts w:ascii="Verdana" w:eastAsia="Times New Roman" w:hAnsi="Verdana" w:cs="Times New Roman"/>
          <w:sz w:val="18"/>
          <w:szCs w:val="18"/>
          <w:lang w:eastAsia="pt-BR"/>
        </w:rPr>
        <w:t xml:space="preserve"> </w:t>
      </w:r>
      <w:proofErr w:type="spellStart"/>
      <w:r w:rsidRPr="00C34AED">
        <w:rPr>
          <w:rFonts w:ascii="Verdana" w:eastAsia="Times New Roman" w:hAnsi="Verdana" w:cs="Times New Roman"/>
          <w:sz w:val="18"/>
          <w:szCs w:val="18"/>
          <w:lang w:eastAsia="pt-BR"/>
        </w:rPr>
        <w:t>Ishimi</w:t>
      </w:r>
      <w:proofErr w:type="spellEnd"/>
      <w:r w:rsidRPr="00C34AED">
        <w:rPr>
          <w:rFonts w:ascii="Verdana" w:eastAsia="Times New Roman" w:hAnsi="Verdana" w:cs="Times New Roman"/>
          <w:sz w:val="18"/>
          <w:szCs w:val="18"/>
          <w:lang w:eastAsia="pt-BR"/>
        </w:rPr>
        <w:t>;</w:t>
      </w:r>
    </w:p>
    <w:p w14:paraId="67AC779D" w14:textId="77777777" w:rsidR="00ED6B48" w:rsidRPr="00C34AED" w:rsidRDefault="00ED6B48"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7B0423F2" w14:textId="20B6233D"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p>
    <w:p w14:paraId="68E3FB90" w14:textId="77777777" w:rsidR="003671FE" w:rsidRPr="00C34AED" w:rsidRDefault="003671FE" w:rsidP="003671FE">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0D36BEDF" w14:textId="2C898245" w:rsidR="003671FE" w:rsidRPr="00C34AED" w:rsidRDefault="003671FE" w:rsidP="003671FE">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II - ..........................................:</w:t>
      </w:r>
    </w:p>
    <w:p w14:paraId="084538A6"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629ADE4B"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a) Julio César Borges;</w:t>
      </w:r>
    </w:p>
    <w:p w14:paraId="6A4EC09B" w14:textId="5AA52661"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p>
    <w:p w14:paraId="6A3FE095" w14:textId="77777777" w:rsidR="003671FE" w:rsidRPr="00C34AED" w:rsidRDefault="003671FE" w:rsidP="003671FE">
      <w:pPr>
        <w:pStyle w:val="PargrafodaLista"/>
        <w:suppressAutoHyphens w:val="0"/>
        <w:spacing w:after="0" w:line="259" w:lineRule="auto"/>
        <w:ind w:left="1701"/>
        <w:contextualSpacing/>
        <w:rPr>
          <w:rFonts w:ascii="Verdana" w:eastAsia="Times New Roman" w:hAnsi="Verdana" w:cs="Times New Roman"/>
          <w:sz w:val="18"/>
          <w:szCs w:val="18"/>
          <w:lang w:eastAsia="pt-BR"/>
        </w:rPr>
      </w:pPr>
    </w:p>
    <w:p w14:paraId="2F97B202" w14:textId="77777777"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c) Vicente da Fonseca Bezerra Júnior; </w:t>
      </w:r>
    </w:p>
    <w:p w14:paraId="6994D68F" w14:textId="77777777"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p>
    <w:p w14:paraId="0DF81201" w14:textId="7A9B1956"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p>
    <w:p w14:paraId="00D772FB" w14:textId="77777777"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p>
    <w:p w14:paraId="6462A6A7" w14:textId="77777777" w:rsidR="003671FE" w:rsidRPr="00C34AED" w:rsidRDefault="003671FE" w:rsidP="003671FE">
      <w:pPr>
        <w:pStyle w:val="PargrafodaLista"/>
        <w:suppressAutoHyphens w:val="0"/>
        <w:spacing w:after="0" w:line="240" w:lineRule="auto"/>
        <w:ind w:left="1701"/>
        <w:contextualSpacing/>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f) Luiz Aurélio Adler Ralho.</w:t>
      </w:r>
    </w:p>
    <w:p w14:paraId="6547DFBD" w14:textId="77777777" w:rsidR="00ED6B48" w:rsidRPr="00C34AED" w:rsidRDefault="00ED6B48" w:rsidP="003671FE">
      <w:pPr>
        <w:pStyle w:val="PargrafodaLista"/>
        <w:suppressAutoHyphens w:val="0"/>
        <w:spacing w:after="0" w:line="240" w:lineRule="auto"/>
        <w:ind w:left="1701"/>
        <w:contextualSpacing/>
        <w:jc w:val="both"/>
        <w:rPr>
          <w:rFonts w:ascii="Verdana" w:eastAsia="Times New Roman" w:hAnsi="Verdana" w:cs="Times New Roman"/>
          <w:sz w:val="18"/>
          <w:szCs w:val="18"/>
          <w:lang w:eastAsia="pt-BR"/>
        </w:rPr>
      </w:pPr>
    </w:p>
    <w:p w14:paraId="37A03999" w14:textId="35147A60" w:rsidR="003671FE" w:rsidRPr="00C34AED" w:rsidRDefault="003671FE" w:rsidP="003671FE">
      <w:pPr>
        <w:pStyle w:val="PargrafodaLista"/>
        <w:suppressAutoHyphens w:val="0"/>
        <w:spacing w:after="0" w:line="240"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(NR)</w:t>
      </w:r>
    </w:p>
    <w:p w14:paraId="6F724DBE" w14:textId="77777777" w:rsidR="003D3F05" w:rsidRPr="00C34AED" w:rsidRDefault="003D3F05" w:rsidP="008E0962">
      <w:pPr>
        <w:ind w:firstLine="1418"/>
        <w:jc w:val="both"/>
        <w:rPr>
          <w:rFonts w:ascii="Verdana" w:hAnsi="Verdana"/>
          <w:sz w:val="18"/>
          <w:szCs w:val="18"/>
        </w:rPr>
      </w:pPr>
    </w:p>
    <w:p w14:paraId="3D8DCDB4" w14:textId="77777777" w:rsidR="00531E39" w:rsidRPr="00C34AED" w:rsidRDefault="00531E39" w:rsidP="00987E3C">
      <w:pPr>
        <w:pStyle w:val="PargrafodaLista"/>
        <w:suppressAutoHyphens w:val="0"/>
        <w:spacing w:after="0" w:line="240" w:lineRule="auto"/>
        <w:ind w:leftChars="708" w:left="1699"/>
        <w:contextualSpacing/>
        <w:jc w:val="both"/>
        <w:rPr>
          <w:rFonts w:ascii="Verdana" w:eastAsia="Times New Roman" w:hAnsi="Verdana" w:cs="Times New Roman"/>
          <w:iCs/>
          <w:sz w:val="18"/>
          <w:szCs w:val="18"/>
          <w:lang w:eastAsia="pt-BR"/>
        </w:rPr>
      </w:pPr>
      <w:r w:rsidRPr="00C34AED">
        <w:rPr>
          <w:rFonts w:ascii="Verdana" w:eastAsia="Times New Roman" w:hAnsi="Verdana" w:cs="Times New Roman"/>
          <w:iCs/>
          <w:sz w:val="18"/>
          <w:szCs w:val="18"/>
          <w:lang w:eastAsia="pt-BR"/>
        </w:rPr>
        <w:t>§ 2º Os conselheiros suplentes substituem os conselheiros titulares:</w:t>
      </w:r>
    </w:p>
    <w:p w14:paraId="041953CD" w14:textId="77777777" w:rsidR="00531E39" w:rsidRPr="00C34AED" w:rsidRDefault="00531E39" w:rsidP="00987E3C">
      <w:pPr>
        <w:pStyle w:val="PargrafodaLista"/>
        <w:suppressAutoHyphens w:val="0"/>
        <w:spacing w:after="0" w:line="240" w:lineRule="auto"/>
        <w:ind w:leftChars="708" w:left="1699"/>
        <w:contextualSpacing/>
        <w:jc w:val="both"/>
        <w:rPr>
          <w:rFonts w:ascii="Verdana" w:eastAsia="Times New Roman" w:hAnsi="Verdana" w:cs="Times New Roman"/>
          <w:iCs/>
          <w:sz w:val="18"/>
          <w:szCs w:val="18"/>
          <w:lang w:eastAsia="pt-BR"/>
        </w:rPr>
      </w:pPr>
    </w:p>
    <w:p w14:paraId="43C5BD28" w14:textId="75A143F0" w:rsidR="00531E39" w:rsidRPr="00C34AED" w:rsidRDefault="00531E39" w:rsidP="00987E3C">
      <w:pPr>
        <w:pStyle w:val="Recuodecorpodetexto3"/>
        <w:spacing w:after="0"/>
        <w:ind w:leftChars="708" w:left="1699"/>
        <w:jc w:val="both"/>
        <w:rPr>
          <w:rFonts w:ascii="Verdana" w:hAnsi="Verdana"/>
          <w:iCs/>
          <w:sz w:val="18"/>
          <w:szCs w:val="18"/>
          <w:lang w:val="pt-BR"/>
        </w:rPr>
      </w:pPr>
      <w:r w:rsidRPr="00C34AED">
        <w:rPr>
          <w:rFonts w:ascii="Verdana" w:hAnsi="Verdana"/>
          <w:iCs/>
          <w:sz w:val="18"/>
          <w:szCs w:val="18"/>
          <w:lang w:val="pt-BR"/>
        </w:rPr>
        <w:t xml:space="preserve">I – </w:t>
      </w:r>
      <w:proofErr w:type="gramStart"/>
      <w:r w:rsidRPr="00C34AED">
        <w:rPr>
          <w:rFonts w:ascii="Verdana" w:hAnsi="Verdana"/>
          <w:iCs/>
          <w:sz w:val="18"/>
          <w:szCs w:val="18"/>
          <w:lang w:val="pt-BR"/>
        </w:rPr>
        <w:t>nas</w:t>
      </w:r>
      <w:proofErr w:type="gramEnd"/>
      <w:r w:rsidR="00ED6B48" w:rsidRPr="00C34AED">
        <w:rPr>
          <w:rFonts w:ascii="Verdana" w:hAnsi="Verdana"/>
          <w:iCs/>
          <w:sz w:val="18"/>
          <w:szCs w:val="18"/>
          <w:lang w:val="pt-BR"/>
        </w:rPr>
        <w:t xml:space="preserve"> </w:t>
      </w:r>
      <w:r w:rsidR="00B8000D" w:rsidRPr="00C34AED">
        <w:rPr>
          <w:rFonts w:ascii="Verdana" w:hAnsi="Verdana"/>
          <w:iCs/>
          <w:sz w:val="18"/>
          <w:szCs w:val="18"/>
          <w:lang w:val="pt-BR"/>
        </w:rPr>
        <w:t>c</w:t>
      </w:r>
      <w:r w:rsidRPr="00C34AED">
        <w:rPr>
          <w:rFonts w:ascii="Verdana" w:hAnsi="Verdana"/>
          <w:iCs/>
          <w:sz w:val="18"/>
          <w:szCs w:val="18"/>
          <w:lang w:val="pt-BR"/>
        </w:rPr>
        <w:t xml:space="preserve">âmaras em que estejam integrados, nos termos do § 1º deste artigo, observado o critério previsto no § 1º do art. 28 do Anexo I do </w:t>
      </w:r>
      <w:r w:rsidRPr="00C34AED">
        <w:rPr>
          <w:rFonts w:ascii="Verdana" w:hAnsi="Verdana"/>
          <w:iCs/>
          <w:sz w:val="18"/>
          <w:szCs w:val="18"/>
        </w:rPr>
        <w:t>Decreto n</w:t>
      </w:r>
      <w:r w:rsidR="0013359B" w:rsidRPr="00C34AED">
        <w:rPr>
          <w:rFonts w:ascii="Verdana" w:hAnsi="Verdana"/>
          <w:iCs/>
          <w:sz w:val="18"/>
          <w:szCs w:val="18"/>
          <w:lang w:val="pt-BR"/>
        </w:rPr>
        <w:t>.</w:t>
      </w:r>
      <w:r w:rsidRPr="00C34AED">
        <w:rPr>
          <w:rFonts w:ascii="Verdana" w:hAnsi="Verdana"/>
          <w:iCs/>
          <w:sz w:val="18"/>
          <w:szCs w:val="18"/>
        </w:rPr>
        <w:t xml:space="preserve"> 14.320, de 24 de novembro de 2015</w:t>
      </w:r>
      <w:r w:rsidRPr="00C34AED">
        <w:rPr>
          <w:rFonts w:ascii="Verdana" w:hAnsi="Verdana"/>
          <w:iCs/>
          <w:sz w:val="18"/>
          <w:szCs w:val="18"/>
          <w:lang w:val="pt-BR"/>
        </w:rPr>
        <w:t xml:space="preserve">, no caso de conselheiros </w:t>
      </w:r>
      <w:r w:rsidRPr="00C34AED">
        <w:rPr>
          <w:rFonts w:ascii="Verdana" w:hAnsi="Verdana"/>
          <w:iCs/>
          <w:sz w:val="18"/>
          <w:szCs w:val="18"/>
          <w:lang w:eastAsia="pt-BR"/>
        </w:rPr>
        <w:t>nomeados mediante indicação</w:t>
      </w:r>
      <w:r w:rsidRPr="00C34AED">
        <w:rPr>
          <w:rFonts w:ascii="Verdana" w:hAnsi="Verdana"/>
          <w:iCs/>
          <w:sz w:val="18"/>
          <w:szCs w:val="18"/>
        </w:rPr>
        <w:t xml:space="preserve"> do dirigente máximo da Secretaria de Estado de Fazenda</w:t>
      </w:r>
      <w:r w:rsidRPr="00C34AED">
        <w:rPr>
          <w:rFonts w:ascii="Verdana" w:hAnsi="Verdana"/>
          <w:iCs/>
          <w:sz w:val="18"/>
          <w:szCs w:val="18"/>
          <w:lang w:val="pt-BR"/>
        </w:rPr>
        <w:t>;</w:t>
      </w:r>
    </w:p>
    <w:p w14:paraId="13F6753C" w14:textId="77777777" w:rsidR="00531E39" w:rsidRPr="00C34AED" w:rsidRDefault="00531E39" w:rsidP="00987E3C">
      <w:pPr>
        <w:pStyle w:val="Recuodecorpodetexto3"/>
        <w:spacing w:after="0"/>
        <w:ind w:leftChars="708" w:left="1699"/>
        <w:jc w:val="both"/>
        <w:rPr>
          <w:rFonts w:ascii="Verdana" w:hAnsi="Verdana"/>
          <w:iCs/>
          <w:sz w:val="18"/>
          <w:szCs w:val="18"/>
          <w:lang w:val="pt-BR"/>
        </w:rPr>
      </w:pPr>
    </w:p>
    <w:p w14:paraId="70FC4022" w14:textId="4890ABCB" w:rsidR="00531E39" w:rsidRPr="00C34AED" w:rsidRDefault="00C20D7E" w:rsidP="00987E3C">
      <w:pPr>
        <w:pStyle w:val="Recuodecorpodetexto3"/>
        <w:spacing w:after="0"/>
        <w:ind w:leftChars="708" w:left="1699"/>
        <w:jc w:val="both"/>
        <w:rPr>
          <w:rFonts w:ascii="Verdana" w:hAnsi="Verdana"/>
          <w:iCs/>
          <w:sz w:val="18"/>
          <w:szCs w:val="18"/>
          <w:lang w:val="pt-BR"/>
        </w:rPr>
      </w:pPr>
      <w:r w:rsidRPr="00C34AED">
        <w:rPr>
          <w:rFonts w:ascii="Verdana" w:hAnsi="Verdana"/>
          <w:iCs/>
          <w:sz w:val="18"/>
          <w:szCs w:val="18"/>
          <w:lang w:val="pt-BR" w:eastAsia="pt-BR"/>
        </w:rPr>
        <w:t>I</w:t>
      </w:r>
      <w:proofErr w:type="spellStart"/>
      <w:r w:rsidR="00531E39" w:rsidRPr="00C34AED">
        <w:rPr>
          <w:rFonts w:ascii="Verdana" w:hAnsi="Verdana"/>
          <w:iCs/>
          <w:sz w:val="18"/>
          <w:szCs w:val="18"/>
          <w:lang w:eastAsia="pt-BR"/>
        </w:rPr>
        <w:t>I</w:t>
      </w:r>
      <w:proofErr w:type="spellEnd"/>
      <w:r w:rsidR="00531E39" w:rsidRPr="00C34AED">
        <w:rPr>
          <w:rFonts w:ascii="Verdana" w:hAnsi="Verdana"/>
          <w:iCs/>
          <w:sz w:val="18"/>
          <w:szCs w:val="18"/>
          <w:lang w:eastAsia="pt-BR"/>
        </w:rPr>
        <w:t xml:space="preserve"> - </w:t>
      </w:r>
      <w:proofErr w:type="gramStart"/>
      <w:r w:rsidR="00531E39" w:rsidRPr="00C34AED">
        <w:rPr>
          <w:rFonts w:ascii="Verdana" w:hAnsi="Verdana"/>
          <w:iCs/>
          <w:sz w:val="18"/>
          <w:szCs w:val="18"/>
          <w:lang w:eastAsia="pt-BR"/>
        </w:rPr>
        <w:t>nas</w:t>
      </w:r>
      <w:proofErr w:type="gramEnd"/>
      <w:r w:rsidR="00531E39" w:rsidRPr="00C34AED">
        <w:rPr>
          <w:rFonts w:ascii="Verdana" w:hAnsi="Verdana"/>
          <w:iCs/>
          <w:sz w:val="18"/>
          <w:szCs w:val="18"/>
          <w:lang w:eastAsia="pt-BR"/>
        </w:rPr>
        <w:t xml:space="preserve"> </w:t>
      </w:r>
      <w:proofErr w:type="spellStart"/>
      <w:r w:rsidR="00B8000D" w:rsidRPr="00C34AED">
        <w:rPr>
          <w:rFonts w:ascii="Verdana" w:hAnsi="Verdana"/>
          <w:iCs/>
          <w:sz w:val="18"/>
          <w:szCs w:val="18"/>
          <w:lang w:val="pt-BR" w:eastAsia="pt-BR"/>
        </w:rPr>
        <w:t>c</w:t>
      </w:r>
      <w:r w:rsidR="00B35636" w:rsidRPr="00C34AED">
        <w:rPr>
          <w:rFonts w:ascii="Verdana" w:hAnsi="Verdana"/>
          <w:iCs/>
          <w:sz w:val="18"/>
          <w:szCs w:val="18"/>
          <w:lang w:val="pt-BR" w:eastAsia="pt-BR"/>
        </w:rPr>
        <w:t>â</w:t>
      </w:r>
      <w:proofErr w:type="spellEnd"/>
      <w:r w:rsidR="00531E39" w:rsidRPr="00C34AED">
        <w:rPr>
          <w:rFonts w:ascii="Verdana" w:hAnsi="Verdana"/>
          <w:iCs/>
          <w:sz w:val="18"/>
          <w:szCs w:val="18"/>
          <w:lang w:eastAsia="pt-BR"/>
        </w:rPr>
        <w:t xml:space="preserve">maras em que atuam os respectivos titulares, no caso de </w:t>
      </w:r>
      <w:r w:rsidR="00531E39" w:rsidRPr="00C34AED">
        <w:rPr>
          <w:rFonts w:ascii="Verdana" w:hAnsi="Verdana"/>
          <w:iCs/>
          <w:sz w:val="18"/>
          <w:szCs w:val="18"/>
          <w:lang w:val="pt-BR" w:eastAsia="pt-BR"/>
        </w:rPr>
        <w:t xml:space="preserve">conselheiros </w:t>
      </w:r>
      <w:r w:rsidR="00531E39" w:rsidRPr="00C34AED">
        <w:rPr>
          <w:rFonts w:ascii="Verdana" w:hAnsi="Verdana"/>
          <w:iCs/>
          <w:sz w:val="18"/>
          <w:szCs w:val="18"/>
        </w:rPr>
        <w:t>nomeados mediante indicação de entidades,</w:t>
      </w:r>
      <w:r w:rsidR="00531E39" w:rsidRPr="00C34AED">
        <w:rPr>
          <w:rFonts w:ascii="Verdana" w:hAnsi="Verdana"/>
          <w:iCs/>
          <w:sz w:val="18"/>
          <w:szCs w:val="18"/>
          <w:lang w:val="pt-BR"/>
        </w:rPr>
        <w:t xml:space="preserve"> observado o disposto no § 3º do art. 28 do Anexo I do </w:t>
      </w:r>
      <w:r w:rsidR="00531E39" w:rsidRPr="00C34AED">
        <w:rPr>
          <w:rFonts w:ascii="Verdana" w:hAnsi="Verdana"/>
          <w:iCs/>
          <w:sz w:val="18"/>
          <w:szCs w:val="18"/>
        </w:rPr>
        <w:t>Decreto n</w:t>
      </w:r>
      <w:r w:rsidR="0013359B" w:rsidRPr="00C34AED">
        <w:rPr>
          <w:rFonts w:ascii="Verdana" w:hAnsi="Verdana"/>
          <w:iCs/>
          <w:sz w:val="18"/>
          <w:szCs w:val="18"/>
          <w:lang w:val="pt-BR"/>
        </w:rPr>
        <w:t>.</w:t>
      </w:r>
      <w:r w:rsidR="00531E39" w:rsidRPr="00C34AED">
        <w:rPr>
          <w:rFonts w:ascii="Verdana" w:hAnsi="Verdana"/>
          <w:iCs/>
          <w:sz w:val="18"/>
          <w:szCs w:val="18"/>
        </w:rPr>
        <w:t xml:space="preserve"> 14.320, de 24 de novembro de </w:t>
      </w:r>
      <w:r w:rsidR="00C34AED" w:rsidRPr="00C34AED">
        <w:rPr>
          <w:rFonts w:ascii="Verdana" w:hAnsi="Verdana"/>
          <w:iCs/>
          <w:sz w:val="18"/>
          <w:szCs w:val="18"/>
        </w:rPr>
        <w:t>2015</w:t>
      </w:r>
      <w:r w:rsidR="00C34AED" w:rsidRPr="00C34AED">
        <w:rPr>
          <w:rFonts w:ascii="Verdana" w:hAnsi="Verdana"/>
          <w:iCs/>
          <w:sz w:val="18"/>
          <w:szCs w:val="18"/>
          <w:lang w:val="pt-BR"/>
        </w:rPr>
        <w:t>. ”</w:t>
      </w:r>
      <w:r w:rsidR="00E74967" w:rsidRPr="00C34AED">
        <w:rPr>
          <w:rFonts w:ascii="Verdana" w:hAnsi="Verdana"/>
          <w:iCs/>
          <w:sz w:val="18"/>
          <w:szCs w:val="18"/>
          <w:lang w:val="pt-BR"/>
        </w:rPr>
        <w:t xml:space="preserve"> </w:t>
      </w:r>
      <w:r w:rsidR="00ED6B48" w:rsidRPr="00C34AED">
        <w:rPr>
          <w:rFonts w:ascii="Verdana" w:hAnsi="Verdana"/>
          <w:iCs/>
          <w:sz w:val="18"/>
          <w:szCs w:val="18"/>
          <w:lang w:val="pt-BR"/>
        </w:rPr>
        <w:t>(</w:t>
      </w:r>
      <w:r w:rsidR="00E74967" w:rsidRPr="00C34AED">
        <w:rPr>
          <w:rFonts w:ascii="Verdana" w:hAnsi="Verdana"/>
          <w:iCs/>
          <w:sz w:val="18"/>
          <w:szCs w:val="18"/>
          <w:lang w:val="pt-BR"/>
        </w:rPr>
        <w:t>NR</w:t>
      </w:r>
      <w:r w:rsidR="00ED6B48" w:rsidRPr="00C34AED">
        <w:rPr>
          <w:rFonts w:ascii="Verdana" w:hAnsi="Verdana"/>
          <w:iCs/>
          <w:sz w:val="18"/>
          <w:szCs w:val="18"/>
          <w:lang w:val="pt-BR"/>
        </w:rPr>
        <w:t>)</w:t>
      </w:r>
    </w:p>
    <w:p w14:paraId="2C93CF8B" w14:textId="21FED18C" w:rsidR="00531E39" w:rsidRPr="00C34AED" w:rsidRDefault="00531E39" w:rsidP="00987E3C">
      <w:pPr>
        <w:ind w:leftChars="708" w:left="1699"/>
        <w:jc w:val="both"/>
        <w:rPr>
          <w:rFonts w:ascii="Verdana" w:hAnsi="Verdana"/>
          <w:iCs/>
          <w:sz w:val="18"/>
          <w:szCs w:val="18"/>
        </w:rPr>
      </w:pPr>
    </w:p>
    <w:p w14:paraId="2631C9A7" w14:textId="2E098694" w:rsidR="00F33B3B" w:rsidRPr="00C34AED" w:rsidRDefault="00F33B3B" w:rsidP="00F33B3B">
      <w:pPr>
        <w:pStyle w:val="PargrafodaLista"/>
        <w:suppressAutoHyphens w:val="0"/>
        <w:spacing w:after="0" w:line="240" w:lineRule="auto"/>
        <w:ind w:left="1701"/>
        <w:contextualSpacing/>
        <w:jc w:val="both"/>
        <w:rPr>
          <w:rFonts w:ascii="Verdana" w:hAnsi="Verdana" w:cs="Times New Roman"/>
          <w:bCs/>
          <w:sz w:val="18"/>
          <w:szCs w:val="18"/>
        </w:rPr>
      </w:pPr>
      <w:r w:rsidRPr="00C34AED">
        <w:rPr>
          <w:rFonts w:ascii="Verdana" w:eastAsia="Times New Roman" w:hAnsi="Verdana" w:cs="Times New Roman"/>
          <w:bCs/>
          <w:sz w:val="18"/>
          <w:szCs w:val="18"/>
          <w:lang w:eastAsia="pt-BR"/>
        </w:rPr>
        <w:t xml:space="preserve">§ 3º Na aplicação do disposto no § 1º do art. 112 do </w:t>
      </w:r>
      <w:r w:rsidRPr="00C34AED">
        <w:rPr>
          <w:rFonts w:ascii="Verdana" w:hAnsi="Verdana" w:cs="Times New Roman"/>
          <w:bCs/>
          <w:sz w:val="18"/>
          <w:szCs w:val="18"/>
        </w:rPr>
        <w:t>Regimento Interno do Tribunal Administrativo Tributário, constante no Anexo I do Decreto n. 14.320, de 24 de novembro de 2015, deve-se observar, quanto aos conselheiros titulares representantes da Secretaria de Estado de Fazenda, o critério de revezamento, no sentido da direita para a esquerda, reiniciado em cada mandato, do lado direito do Presidente.  (NR)</w:t>
      </w:r>
    </w:p>
    <w:p w14:paraId="455D0FEB" w14:textId="77777777" w:rsidR="00F33B3B" w:rsidRPr="00C34AED" w:rsidRDefault="00F33B3B" w:rsidP="00987E3C">
      <w:pPr>
        <w:ind w:leftChars="708" w:left="1699"/>
        <w:jc w:val="both"/>
        <w:rPr>
          <w:rFonts w:ascii="Verdana" w:hAnsi="Verdana"/>
          <w:iCs/>
          <w:sz w:val="18"/>
          <w:szCs w:val="18"/>
        </w:rPr>
      </w:pPr>
    </w:p>
    <w:p w14:paraId="6CF62E87" w14:textId="6DA78173" w:rsidR="00531E39" w:rsidRPr="00C34AED" w:rsidRDefault="00E74967" w:rsidP="00987E3C">
      <w:pPr>
        <w:ind w:leftChars="708" w:left="1699"/>
        <w:jc w:val="both"/>
        <w:rPr>
          <w:rFonts w:ascii="Verdana" w:hAnsi="Verdana"/>
          <w:iCs/>
          <w:sz w:val="18"/>
          <w:szCs w:val="18"/>
        </w:rPr>
      </w:pPr>
      <w:r w:rsidRPr="00C34AED">
        <w:rPr>
          <w:rFonts w:ascii="Verdana" w:hAnsi="Verdana"/>
          <w:iCs/>
          <w:sz w:val="18"/>
          <w:szCs w:val="18"/>
        </w:rPr>
        <w:t>“</w:t>
      </w:r>
      <w:r w:rsidR="00531E39" w:rsidRPr="00C34AED">
        <w:rPr>
          <w:rFonts w:ascii="Verdana" w:hAnsi="Verdana"/>
          <w:iCs/>
          <w:sz w:val="18"/>
          <w:szCs w:val="18"/>
        </w:rPr>
        <w:t>Art. 2º ....................................:</w:t>
      </w:r>
    </w:p>
    <w:p w14:paraId="7F9044A7" w14:textId="77777777" w:rsidR="00531E39" w:rsidRPr="00C34AED" w:rsidRDefault="00531E39" w:rsidP="00987E3C">
      <w:pPr>
        <w:ind w:leftChars="708" w:left="1699"/>
        <w:jc w:val="both"/>
        <w:rPr>
          <w:rFonts w:ascii="Verdana" w:hAnsi="Verdana"/>
          <w:iCs/>
          <w:sz w:val="18"/>
          <w:szCs w:val="18"/>
        </w:rPr>
      </w:pPr>
    </w:p>
    <w:p w14:paraId="48B8400F" w14:textId="4E1E0B0B" w:rsidR="00531E39" w:rsidRPr="00C34AED" w:rsidRDefault="00531E39" w:rsidP="00987E3C">
      <w:pPr>
        <w:ind w:leftChars="708" w:left="1699"/>
        <w:jc w:val="both"/>
        <w:rPr>
          <w:rFonts w:ascii="Verdana" w:hAnsi="Verdana"/>
          <w:iCs/>
          <w:sz w:val="18"/>
          <w:szCs w:val="18"/>
        </w:rPr>
      </w:pPr>
      <w:r w:rsidRPr="00C34AED">
        <w:rPr>
          <w:rFonts w:ascii="Verdana" w:hAnsi="Verdana"/>
          <w:iCs/>
          <w:sz w:val="18"/>
          <w:szCs w:val="18"/>
        </w:rPr>
        <w:t>..........................................</w:t>
      </w:r>
      <w:r w:rsidR="00C71DD7" w:rsidRPr="00C34AED">
        <w:rPr>
          <w:rFonts w:ascii="Verdana" w:hAnsi="Verdana"/>
          <w:iCs/>
          <w:sz w:val="18"/>
          <w:szCs w:val="18"/>
        </w:rPr>
        <w:t>.</w:t>
      </w:r>
      <w:r w:rsidR="00A20077" w:rsidRPr="00C34AED">
        <w:rPr>
          <w:rFonts w:ascii="Verdana" w:hAnsi="Verdana"/>
          <w:iCs/>
          <w:sz w:val="18"/>
          <w:szCs w:val="18"/>
        </w:rPr>
        <w:t>.....</w:t>
      </w:r>
      <w:r w:rsidRPr="00C34AED">
        <w:rPr>
          <w:rFonts w:ascii="Verdana" w:hAnsi="Verdana"/>
          <w:iCs/>
          <w:sz w:val="18"/>
          <w:szCs w:val="18"/>
        </w:rPr>
        <w:t>..</w:t>
      </w:r>
    </w:p>
    <w:p w14:paraId="6C99FC1F" w14:textId="77777777" w:rsidR="00531E39" w:rsidRPr="00C34AED" w:rsidRDefault="00531E39" w:rsidP="00987E3C">
      <w:pPr>
        <w:ind w:leftChars="708" w:left="1699"/>
        <w:jc w:val="both"/>
        <w:rPr>
          <w:rFonts w:ascii="Verdana" w:hAnsi="Verdana"/>
          <w:iCs/>
          <w:sz w:val="18"/>
          <w:szCs w:val="18"/>
          <w:u w:val="single"/>
        </w:rPr>
      </w:pPr>
    </w:p>
    <w:p w14:paraId="6A6A32CF" w14:textId="3DE4ED7B" w:rsidR="00531E39" w:rsidRPr="00C34AED" w:rsidRDefault="00531E39" w:rsidP="00987E3C">
      <w:pPr>
        <w:pStyle w:val="NormalWeb"/>
        <w:spacing w:before="0" w:beforeAutospacing="0" w:after="0" w:afterAutospacing="0"/>
        <w:ind w:leftChars="708" w:left="1699"/>
        <w:jc w:val="both"/>
        <w:rPr>
          <w:rFonts w:ascii="Verdana" w:hAnsi="Verdana"/>
          <w:iCs/>
          <w:color w:val="000000"/>
          <w:sz w:val="18"/>
          <w:szCs w:val="18"/>
        </w:rPr>
      </w:pPr>
      <w:r w:rsidRPr="00C34AED">
        <w:rPr>
          <w:rFonts w:ascii="Verdana" w:hAnsi="Verdana"/>
          <w:iCs/>
          <w:color w:val="000000"/>
          <w:sz w:val="18"/>
          <w:szCs w:val="18"/>
        </w:rPr>
        <w:t>§ 1º Observado o disposto no § 1º-A deste artigo, as sessões devem ser iniciadas às oito horas</w:t>
      </w:r>
      <w:r w:rsidR="0013359B" w:rsidRPr="00C34AED">
        <w:rPr>
          <w:rFonts w:ascii="Verdana" w:hAnsi="Verdana"/>
          <w:iCs/>
          <w:color w:val="000000"/>
          <w:sz w:val="18"/>
          <w:szCs w:val="18"/>
        </w:rPr>
        <w:t xml:space="preserve"> e quinze minutos</w:t>
      </w:r>
      <w:r w:rsidRPr="00C34AED">
        <w:rPr>
          <w:rFonts w:ascii="Verdana" w:hAnsi="Verdana"/>
          <w:iCs/>
          <w:color w:val="000000"/>
          <w:sz w:val="18"/>
          <w:szCs w:val="18"/>
        </w:rPr>
        <w:t xml:space="preserve"> e encerradas às doze horas, podendo ser prorrogadas por deliberação dos conselheiros participantes para fins de conclusão dos trabalhos constantes na respectiva pauta.</w:t>
      </w:r>
    </w:p>
    <w:p w14:paraId="2B5F7C4F" w14:textId="77777777" w:rsidR="00A20077" w:rsidRPr="00C34AED" w:rsidRDefault="00A20077" w:rsidP="00987E3C">
      <w:pPr>
        <w:pStyle w:val="NormalWeb"/>
        <w:spacing w:before="0" w:beforeAutospacing="0" w:after="0" w:afterAutospacing="0"/>
        <w:ind w:leftChars="708" w:left="1699"/>
        <w:jc w:val="both"/>
        <w:rPr>
          <w:rFonts w:ascii="Verdana" w:hAnsi="Verdana"/>
          <w:iCs/>
          <w:color w:val="000000"/>
          <w:sz w:val="18"/>
          <w:szCs w:val="18"/>
        </w:rPr>
      </w:pPr>
    </w:p>
    <w:p w14:paraId="072C31A7" w14:textId="6964BBA0" w:rsidR="00531E39" w:rsidRPr="00C34AED" w:rsidRDefault="00531E39" w:rsidP="00987E3C">
      <w:pPr>
        <w:pStyle w:val="NormalWeb"/>
        <w:spacing w:before="0" w:beforeAutospacing="0" w:after="0" w:afterAutospacing="0"/>
        <w:ind w:leftChars="708" w:left="1699"/>
        <w:jc w:val="both"/>
        <w:rPr>
          <w:rFonts w:ascii="Verdana" w:hAnsi="Verdana"/>
          <w:iCs/>
          <w:color w:val="000000"/>
          <w:sz w:val="18"/>
          <w:szCs w:val="18"/>
        </w:rPr>
      </w:pPr>
      <w:r w:rsidRPr="00C34AED">
        <w:rPr>
          <w:rFonts w:ascii="Verdana" w:hAnsi="Verdana"/>
          <w:iCs/>
          <w:color w:val="000000"/>
          <w:sz w:val="18"/>
          <w:szCs w:val="18"/>
        </w:rPr>
        <w:t>§ 1º-A Na</w:t>
      </w:r>
      <w:r w:rsidR="00BB491B" w:rsidRPr="00C34AED">
        <w:rPr>
          <w:rFonts w:ascii="Verdana" w:hAnsi="Verdana"/>
          <w:iCs/>
          <w:color w:val="000000"/>
          <w:sz w:val="18"/>
          <w:szCs w:val="18"/>
        </w:rPr>
        <w:t>s</w:t>
      </w:r>
      <w:r w:rsidRPr="00C34AED">
        <w:rPr>
          <w:rFonts w:ascii="Verdana" w:hAnsi="Verdana"/>
          <w:iCs/>
          <w:color w:val="000000"/>
          <w:sz w:val="18"/>
          <w:szCs w:val="18"/>
        </w:rPr>
        <w:t xml:space="preserve"> segunda</w:t>
      </w:r>
      <w:r w:rsidR="00BB491B" w:rsidRPr="00C34AED">
        <w:rPr>
          <w:rFonts w:ascii="Verdana" w:hAnsi="Verdana"/>
          <w:iCs/>
          <w:color w:val="000000"/>
          <w:sz w:val="18"/>
          <w:szCs w:val="18"/>
        </w:rPr>
        <w:t>s</w:t>
      </w:r>
      <w:r w:rsidRPr="00C34AED">
        <w:rPr>
          <w:rFonts w:ascii="Verdana" w:hAnsi="Verdana"/>
          <w:iCs/>
          <w:color w:val="000000"/>
          <w:sz w:val="18"/>
          <w:szCs w:val="18"/>
        </w:rPr>
        <w:t xml:space="preserve"> e </w:t>
      </w:r>
      <w:r w:rsidR="00851F67" w:rsidRPr="00C34AED">
        <w:rPr>
          <w:rFonts w:ascii="Verdana" w:hAnsi="Verdana"/>
          <w:iCs/>
          <w:color w:val="000000"/>
          <w:sz w:val="18"/>
          <w:szCs w:val="18"/>
        </w:rPr>
        <w:t>na</w:t>
      </w:r>
      <w:r w:rsidR="00BB491B" w:rsidRPr="00C34AED">
        <w:rPr>
          <w:rFonts w:ascii="Verdana" w:hAnsi="Verdana"/>
          <w:iCs/>
          <w:color w:val="000000"/>
          <w:sz w:val="18"/>
          <w:szCs w:val="18"/>
        </w:rPr>
        <w:t>s</w:t>
      </w:r>
      <w:r w:rsidR="00851F67" w:rsidRPr="00C34AED">
        <w:rPr>
          <w:rFonts w:ascii="Verdana" w:hAnsi="Verdana"/>
          <w:iCs/>
          <w:color w:val="000000"/>
          <w:sz w:val="18"/>
          <w:szCs w:val="18"/>
        </w:rPr>
        <w:t xml:space="preserve"> </w:t>
      </w:r>
      <w:r w:rsidR="0063098B" w:rsidRPr="00C34AED">
        <w:rPr>
          <w:rFonts w:ascii="Verdana" w:hAnsi="Verdana"/>
          <w:iCs/>
          <w:color w:val="000000"/>
          <w:sz w:val="18"/>
          <w:szCs w:val="18"/>
        </w:rPr>
        <w:t>t</w:t>
      </w:r>
      <w:r w:rsidRPr="00C34AED">
        <w:rPr>
          <w:rFonts w:ascii="Verdana" w:hAnsi="Verdana"/>
          <w:iCs/>
          <w:color w:val="000000"/>
          <w:sz w:val="18"/>
          <w:szCs w:val="18"/>
        </w:rPr>
        <w:t>erça</w:t>
      </w:r>
      <w:r w:rsidR="00BB491B" w:rsidRPr="00C34AED">
        <w:rPr>
          <w:rFonts w:ascii="Verdana" w:hAnsi="Verdana"/>
          <w:iCs/>
          <w:color w:val="000000"/>
          <w:sz w:val="18"/>
          <w:szCs w:val="18"/>
        </w:rPr>
        <w:t>s</w:t>
      </w:r>
      <w:r w:rsidRPr="00C34AED">
        <w:rPr>
          <w:rFonts w:ascii="Verdana" w:hAnsi="Verdana"/>
          <w:iCs/>
          <w:color w:val="000000"/>
          <w:sz w:val="18"/>
          <w:szCs w:val="18"/>
        </w:rPr>
        <w:t>-feira</w:t>
      </w:r>
      <w:r w:rsidR="00BB491B" w:rsidRPr="00C34AED">
        <w:rPr>
          <w:rFonts w:ascii="Verdana" w:hAnsi="Verdana"/>
          <w:iCs/>
          <w:color w:val="000000"/>
          <w:sz w:val="18"/>
          <w:szCs w:val="18"/>
        </w:rPr>
        <w:t>s</w:t>
      </w:r>
      <w:r w:rsidRPr="00C34AED">
        <w:rPr>
          <w:rFonts w:ascii="Verdana" w:hAnsi="Verdana"/>
          <w:iCs/>
          <w:color w:val="000000"/>
          <w:sz w:val="18"/>
          <w:szCs w:val="18"/>
        </w:rPr>
        <w:t xml:space="preserve">, as sessões podem ser iniciadas às dezesseis horas e trinta minutos e encerradas às vinte horas e </w:t>
      </w:r>
      <w:r w:rsidR="00BA78AE" w:rsidRPr="00C34AED">
        <w:rPr>
          <w:rFonts w:ascii="Verdana" w:hAnsi="Verdana"/>
          <w:iCs/>
          <w:color w:val="000000"/>
          <w:sz w:val="18"/>
          <w:szCs w:val="18"/>
        </w:rPr>
        <w:t>quinze</w:t>
      </w:r>
      <w:r w:rsidRPr="00C34AED">
        <w:rPr>
          <w:rFonts w:ascii="Verdana" w:hAnsi="Verdana"/>
          <w:iCs/>
          <w:color w:val="000000"/>
          <w:sz w:val="18"/>
          <w:szCs w:val="18"/>
        </w:rPr>
        <w:t xml:space="preserve"> minutos.</w:t>
      </w:r>
    </w:p>
    <w:p w14:paraId="5F40CF14" w14:textId="77777777" w:rsidR="00B8000D" w:rsidRPr="00C34AED" w:rsidRDefault="00B8000D" w:rsidP="00987E3C">
      <w:pPr>
        <w:ind w:leftChars="708" w:left="1699"/>
        <w:jc w:val="both"/>
        <w:rPr>
          <w:rFonts w:ascii="Verdana" w:hAnsi="Verdana"/>
          <w:iCs/>
          <w:sz w:val="18"/>
          <w:szCs w:val="18"/>
        </w:rPr>
      </w:pPr>
    </w:p>
    <w:p w14:paraId="45799036" w14:textId="719A7EFB" w:rsidR="00531E39" w:rsidRPr="00C34AED" w:rsidRDefault="00531E39" w:rsidP="00987E3C">
      <w:pPr>
        <w:ind w:leftChars="708" w:left="1699"/>
        <w:jc w:val="both"/>
        <w:rPr>
          <w:rFonts w:ascii="Verdana" w:hAnsi="Verdana"/>
          <w:iCs/>
          <w:sz w:val="18"/>
          <w:szCs w:val="18"/>
        </w:rPr>
      </w:pPr>
      <w:r w:rsidRPr="00C34AED">
        <w:rPr>
          <w:rFonts w:ascii="Verdana" w:hAnsi="Verdana"/>
          <w:iCs/>
          <w:sz w:val="18"/>
          <w:szCs w:val="18"/>
        </w:rPr>
        <w:t>.............................................</w:t>
      </w:r>
      <w:r w:rsidR="00C71DD7" w:rsidRPr="00C34AED">
        <w:rPr>
          <w:rFonts w:ascii="Verdana" w:hAnsi="Verdana"/>
          <w:iCs/>
          <w:sz w:val="18"/>
          <w:szCs w:val="18"/>
        </w:rPr>
        <w:t>.</w:t>
      </w:r>
      <w:r w:rsidRPr="00C34AED">
        <w:rPr>
          <w:rFonts w:ascii="Verdana" w:hAnsi="Verdana"/>
          <w:iCs/>
          <w:sz w:val="18"/>
          <w:szCs w:val="18"/>
        </w:rPr>
        <w:t>..</w:t>
      </w:r>
    </w:p>
    <w:p w14:paraId="4F11528D" w14:textId="77777777" w:rsidR="00531E39" w:rsidRPr="00C34AED" w:rsidRDefault="00531E39" w:rsidP="00987E3C">
      <w:pPr>
        <w:ind w:leftChars="708" w:left="1699"/>
        <w:jc w:val="both"/>
        <w:rPr>
          <w:rFonts w:ascii="Verdana" w:hAnsi="Verdana"/>
          <w:iCs/>
          <w:sz w:val="18"/>
          <w:szCs w:val="18"/>
        </w:rPr>
      </w:pPr>
    </w:p>
    <w:p w14:paraId="6698DDF0" w14:textId="0BE55C1C" w:rsidR="00531E39" w:rsidRPr="00C34AED" w:rsidRDefault="00531E39" w:rsidP="00727D20">
      <w:pPr>
        <w:ind w:leftChars="708" w:left="1699"/>
        <w:jc w:val="both"/>
        <w:rPr>
          <w:rFonts w:ascii="Verdana" w:hAnsi="Verdana"/>
          <w:iCs/>
          <w:sz w:val="18"/>
          <w:szCs w:val="18"/>
        </w:rPr>
      </w:pPr>
      <w:r w:rsidRPr="00C34AED">
        <w:rPr>
          <w:rFonts w:ascii="Verdana" w:hAnsi="Verdana"/>
          <w:iCs/>
          <w:sz w:val="18"/>
          <w:szCs w:val="18"/>
        </w:rPr>
        <w:t xml:space="preserve">§ 2º-A Observado o limite previsto no § 2º deste artigo, somente serão incluídos na pauta de julgamento processos cuja restituição, para essa finalidade, ocorrer até às quinze horas do dia do </w:t>
      </w:r>
      <w:r w:rsidR="00B35636" w:rsidRPr="00C34AED">
        <w:rPr>
          <w:rFonts w:ascii="Verdana" w:hAnsi="Verdana"/>
          <w:iCs/>
          <w:sz w:val="18"/>
          <w:szCs w:val="18"/>
        </w:rPr>
        <w:t xml:space="preserve">seu </w:t>
      </w:r>
      <w:r w:rsidRPr="00C34AED">
        <w:rPr>
          <w:rFonts w:ascii="Verdana" w:hAnsi="Verdana"/>
          <w:iCs/>
          <w:sz w:val="18"/>
          <w:szCs w:val="18"/>
        </w:rPr>
        <w:t>encaminhamento para</w:t>
      </w:r>
      <w:r w:rsidR="00D16CB6" w:rsidRPr="00C34AED">
        <w:rPr>
          <w:rFonts w:ascii="Verdana" w:hAnsi="Verdana"/>
          <w:iCs/>
          <w:sz w:val="18"/>
          <w:szCs w:val="18"/>
        </w:rPr>
        <w:t xml:space="preserve"> </w:t>
      </w:r>
      <w:r w:rsidRPr="00C34AED">
        <w:rPr>
          <w:rFonts w:ascii="Verdana" w:hAnsi="Verdana"/>
          <w:iCs/>
          <w:sz w:val="18"/>
          <w:szCs w:val="18"/>
        </w:rPr>
        <w:t>publicação no Diário Oficial do Estado.</w:t>
      </w:r>
    </w:p>
    <w:p w14:paraId="11871D8D" w14:textId="77777777" w:rsidR="00531E39" w:rsidRPr="00C34AED" w:rsidRDefault="00531E39" w:rsidP="00987E3C">
      <w:pPr>
        <w:ind w:leftChars="708" w:left="1699"/>
        <w:jc w:val="both"/>
        <w:rPr>
          <w:rFonts w:ascii="Verdana" w:hAnsi="Verdana"/>
          <w:iCs/>
          <w:sz w:val="18"/>
          <w:szCs w:val="18"/>
        </w:rPr>
      </w:pPr>
    </w:p>
    <w:p w14:paraId="6F00E9C1" w14:textId="1AC90EF0" w:rsidR="00531E39" w:rsidRPr="00C34AED" w:rsidRDefault="00531E39" w:rsidP="00987E3C">
      <w:pPr>
        <w:ind w:leftChars="708" w:left="1699"/>
        <w:jc w:val="both"/>
        <w:rPr>
          <w:rFonts w:ascii="Verdana" w:hAnsi="Verdana"/>
          <w:iCs/>
          <w:sz w:val="18"/>
          <w:szCs w:val="18"/>
        </w:rPr>
      </w:pPr>
      <w:r w:rsidRPr="00C34AED">
        <w:rPr>
          <w:rFonts w:ascii="Verdana" w:hAnsi="Verdana"/>
          <w:iCs/>
          <w:sz w:val="18"/>
          <w:szCs w:val="18"/>
        </w:rPr>
        <w:t>....................................</w:t>
      </w:r>
      <w:r w:rsidR="00C71DD7" w:rsidRPr="00C34AED">
        <w:rPr>
          <w:rFonts w:ascii="Verdana" w:hAnsi="Verdana"/>
          <w:iCs/>
          <w:sz w:val="18"/>
          <w:szCs w:val="18"/>
        </w:rPr>
        <w:t>.....</w:t>
      </w:r>
      <w:r w:rsidRPr="00C34AED">
        <w:rPr>
          <w:rFonts w:ascii="Verdana" w:hAnsi="Verdana"/>
          <w:iCs/>
          <w:sz w:val="18"/>
          <w:szCs w:val="18"/>
        </w:rPr>
        <w:t>....” (NR)</w:t>
      </w:r>
    </w:p>
    <w:p w14:paraId="11147A17" w14:textId="5BB07BE3" w:rsidR="00531E39" w:rsidRPr="00C34AED" w:rsidRDefault="00531E39" w:rsidP="00987E3C">
      <w:pPr>
        <w:pStyle w:val="PargrafodaLista"/>
        <w:suppressAutoHyphens w:val="0"/>
        <w:spacing w:after="0" w:line="240" w:lineRule="auto"/>
        <w:ind w:leftChars="708" w:left="1699"/>
        <w:contextualSpacing/>
        <w:jc w:val="both"/>
        <w:rPr>
          <w:rFonts w:ascii="Verdana" w:hAnsi="Verdana" w:cs="Times New Roman"/>
          <w:iCs/>
          <w:sz w:val="18"/>
          <w:szCs w:val="18"/>
        </w:rPr>
      </w:pPr>
    </w:p>
    <w:p w14:paraId="337C87CF" w14:textId="77777777" w:rsidR="00F33B3B" w:rsidRPr="00C34AED" w:rsidRDefault="00F33B3B" w:rsidP="00F33B3B">
      <w:pPr>
        <w:pStyle w:val="PargrafodaLista"/>
        <w:suppressAutoHyphens w:val="0"/>
        <w:spacing w:after="0" w:line="240" w:lineRule="auto"/>
        <w:ind w:left="1701"/>
        <w:contextualSpacing/>
        <w:jc w:val="both"/>
        <w:rPr>
          <w:rFonts w:ascii="Verdana" w:hAnsi="Verdana" w:cs="Times New Roman"/>
          <w:b/>
          <w:bCs/>
          <w:sz w:val="18"/>
          <w:szCs w:val="18"/>
        </w:rPr>
      </w:pPr>
    </w:p>
    <w:p w14:paraId="4B72CF5D" w14:textId="37CDC417" w:rsidR="00F33B3B" w:rsidRPr="00C34AED" w:rsidRDefault="00F33B3B" w:rsidP="00F33B3B">
      <w:pPr>
        <w:ind w:left="1701"/>
        <w:jc w:val="both"/>
        <w:rPr>
          <w:rFonts w:ascii="Verdana" w:eastAsiaTheme="minorHAnsi" w:hAnsi="Verdana"/>
          <w:bCs/>
          <w:sz w:val="18"/>
          <w:szCs w:val="18"/>
          <w:lang w:eastAsia="en-US"/>
        </w:rPr>
      </w:pPr>
      <w:r w:rsidRPr="00C34AED">
        <w:rPr>
          <w:rFonts w:ascii="Verdana" w:eastAsiaTheme="minorHAnsi" w:hAnsi="Verdana"/>
          <w:bCs/>
          <w:sz w:val="18"/>
          <w:szCs w:val="18"/>
          <w:lang w:eastAsia="en-US"/>
        </w:rPr>
        <w:t xml:space="preserve">Art. 3º-A Os casos omissos </w:t>
      </w:r>
      <w:r w:rsidR="00226D4B" w:rsidRPr="00C34AED">
        <w:rPr>
          <w:rFonts w:ascii="Verdana" w:eastAsiaTheme="minorHAnsi" w:hAnsi="Verdana"/>
          <w:bCs/>
          <w:sz w:val="18"/>
          <w:szCs w:val="18"/>
          <w:lang w:eastAsia="en-US"/>
        </w:rPr>
        <w:t>n</w:t>
      </w:r>
      <w:r w:rsidRPr="00C34AED">
        <w:rPr>
          <w:rFonts w:ascii="Verdana" w:eastAsiaTheme="minorHAnsi" w:hAnsi="Verdana"/>
          <w:bCs/>
          <w:sz w:val="18"/>
          <w:szCs w:val="18"/>
          <w:lang w:eastAsia="en-US"/>
        </w:rPr>
        <w:t>o Regimento Interno do Tribunal Administrativo Tributário, constante nos Anexos I e II do Decreto n. 14.320, de 24 de novembro de 2015, relativamente à atuação das Câmaras de Julgamento, no limite de suas competências, devem ser solucionados por deliberação da Câmara em que suscitados.</w:t>
      </w:r>
    </w:p>
    <w:p w14:paraId="0934ED93" w14:textId="77777777" w:rsidR="00F33B3B" w:rsidRPr="00C34AED" w:rsidRDefault="00F33B3B" w:rsidP="00F33B3B">
      <w:pPr>
        <w:ind w:left="1701"/>
        <w:jc w:val="both"/>
        <w:rPr>
          <w:rFonts w:ascii="Verdana" w:eastAsiaTheme="minorHAnsi" w:hAnsi="Verdana"/>
          <w:bCs/>
          <w:sz w:val="18"/>
          <w:szCs w:val="18"/>
          <w:lang w:eastAsia="en-US"/>
        </w:rPr>
      </w:pPr>
    </w:p>
    <w:p w14:paraId="0E8A0159" w14:textId="08B6AF7E" w:rsidR="00F33B3B" w:rsidRPr="00C34AED" w:rsidRDefault="00F33B3B" w:rsidP="00F33B3B">
      <w:pPr>
        <w:ind w:left="1701"/>
        <w:jc w:val="both"/>
        <w:rPr>
          <w:rFonts w:ascii="Verdana" w:eastAsiaTheme="minorHAnsi" w:hAnsi="Verdana"/>
          <w:bCs/>
          <w:sz w:val="18"/>
          <w:szCs w:val="18"/>
          <w:lang w:eastAsia="en-US"/>
        </w:rPr>
      </w:pPr>
      <w:r w:rsidRPr="00C34AED">
        <w:rPr>
          <w:rFonts w:ascii="Verdana" w:eastAsiaTheme="minorHAnsi" w:hAnsi="Verdana"/>
          <w:bCs/>
          <w:sz w:val="18"/>
          <w:szCs w:val="18"/>
          <w:lang w:eastAsia="en-US"/>
        </w:rPr>
        <w:t>Parágrafo único. O disposto neste artigo não impede que as Câmaras submetam o caso omisso à apreciação do Conselho Pleno visando a sua solução. (NR)</w:t>
      </w:r>
    </w:p>
    <w:p w14:paraId="7856BA9E" w14:textId="77777777" w:rsidR="00F33B3B" w:rsidRPr="00C34AED" w:rsidRDefault="00F33B3B" w:rsidP="00987E3C">
      <w:pPr>
        <w:pStyle w:val="PargrafodaLista"/>
        <w:suppressAutoHyphens w:val="0"/>
        <w:spacing w:after="0" w:line="240" w:lineRule="auto"/>
        <w:ind w:leftChars="708" w:left="1699"/>
        <w:contextualSpacing/>
        <w:jc w:val="both"/>
        <w:rPr>
          <w:rFonts w:ascii="Verdana" w:hAnsi="Verdana" w:cs="Times New Roman"/>
          <w:iCs/>
          <w:sz w:val="18"/>
          <w:szCs w:val="18"/>
        </w:rPr>
      </w:pPr>
    </w:p>
    <w:p w14:paraId="5949E1FA" w14:textId="13A3BF73" w:rsidR="00E74967"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“Art. 4º ..</w:t>
      </w:r>
      <w:r w:rsidR="00FE7891" w:rsidRPr="00C34AED">
        <w:rPr>
          <w:rFonts w:ascii="Verdana" w:eastAsia="Times New Roman" w:hAnsi="Verdana" w:cs="Times New Roman"/>
          <w:sz w:val="18"/>
          <w:szCs w:val="18"/>
          <w:lang w:eastAsia="pt-BR"/>
        </w:rPr>
        <w:t>........................</w:t>
      </w:r>
      <w:r w:rsidR="00C71DD7" w:rsidRPr="00C34AED">
        <w:rPr>
          <w:rFonts w:ascii="Verdana" w:eastAsia="Times New Roman" w:hAnsi="Verdana" w:cs="Times New Roman"/>
          <w:sz w:val="18"/>
          <w:szCs w:val="18"/>
          <w:lang w:eastAsia="pt-BR"/>
        </w:rPr>
        <w:t>...</w:t>
      </w:r>
      <w:r w:rsidR="00FE7891" w:rsidRPr="00C34AED">
        <w:rPr>
          <w:rFonts w:ascii="Verdana" w:eastAsia="Times New Roman" w:hAnsi="Verdana" w:cs="Times New Roman"/>
          <w:sz w:val="18"/>
          <w:szCs w:val="18"/>
          <w:lang w:eastAsia="pt-BR"/>
        </w:rPr>
        <w:t>...</w:t>
      </w:r>
      <w:r w:rsidRPr="00C34AED">
        <w:rPr>
          <w:rFonts w:ascii="Verdana" w:eastAsia="Times New Roman" w:hAnsi="Verdana" w:cs="Times New Roman"/>
          <w:sz w:val="18"/>
          <w:szCs w:val="18"/>
          <w:lang w:eastAsia="pt-BR"/>
        </w:rPr>
        <w:t>.</w:t>
      </w:r>
    </w:p>
    <w:p w14:paraId="026F0964" w14:textId="59685C24" w:rsidR="00E74967" w:rsidRPr="00C34AED" w:rsidRDefault="00FE7891"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r w:rsidR="00C71DD7" w:rsidRPr="00C34AED">
        <w:rPr>
          <w:rFonts w:ascii="Verdana" w:eastAsia="Times New Roman" w:hAnsi="Verdana" w:cs="Times New Roman"/>
          <w:sz w:val="18"/>
          <w:szCs w:val="18"/>
          <w:lang w:eastAsia="pt-BR"/>
        </w:rPr>
        <w:t>........</w:t>
      </w:r>
      <w:r w:rsidRPr="00C34AED">
        <w:rPr>
          <w:rFonts w:ascii="Verdana" w:eastAsia="Times New Roman" w:hAnsi="Verdana" w:cs="Times New Roman"/>
          <w:sz w:val="18"/>
          <w:szCs w:val="18"/>
          <w:lang w:eastAsia="pt-BR"/>
        </w:rPr>
        <w:t>.....</w:t>
      </w:r>
    </w:p>
    <w:p w14:paraId="0DA86C49" w14:textId="1FAD6E5F" w:rsidR="00FE7891" w:rsidRPr="00C34AED" w:rsidRDefault="00FE7891"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269947DE" w14:textId="0C6E3D45" w:rsidR="00415911" w:rsidRPr="00C34AED" w:rsidRDefault="00415911" w:rsidP="00F7466B">
      <w:pPr>
        <w:ind w:left="1701"/>
        <w:jc w:val="both"/>
        <w:rPr>
          <w:rFonts w:ascii="Verdana" w:eastAsiaTheme="minorHAnsi" w:hAnsi="Verdana"/>
          <w:sz w:val="18"/>
          <w:szCs w:val="18"/>
          <w:lang w:eastAsia="en-US"/>
        </w:rPr>
      </w:pPr>
      <w:r w:rsidRPr="00C34AED">
        <w:rPr>
          <w:rFonts w:ascii="Verdana" w:eastAsiaTheme="minorHAnsi" w:hAnsi="Verdana"/>
          <w:sz w:val="18"/>
          <w:szCs w:val="18"/>
          <w:lang w:eastAsia="en-US"/>
        </w:rPr>
        <w:t xml:space="preserve">§ 1º Para substituírem, no caso de ausência, os conselheiros escolhidos na forma do </w:t>
      </w:r>
      <w:r w:rsidRPr="00C34AED">
        <w:rPr>
          <w:rFonts w:ascii="Verdana" w:eastAsiaTheme="minorHAnsi" w:hAnsi="Verdana"/>
          <w:i/>
          <w:sz w:val="18"/>
          <w:szCs w:val="18"/>
          <w:lang w:eastAsia="en-US"/>
        </w:rPr>
        <w:t>caput</w:t>
      </w:r>
      <w:r w:rsidRPr="00C34AED">
        <w:rPr>
          <w:rFonts w:ascii="Verdana" w:eastAsiaTheme="minorHAnsi" w:hAnsi="Verdana"/>
          <w:sz w:val="18"/>
          <w:szCs w:val="18"/>
          <w:lang w:eastAsia="en-US"/>
        </w:rPr>
        <w:t xml:space="preserve"> deste artigo, devem ser escolhidos, na sessão a que se refere o inciso II do </w:t>
      </w:r>
      <w:r w:rsidRPr="00C34AED">
        <w:rPr>
          <w:rFonts w:ascii="Verdana" w:eastAsiaTheme="minorHAnsi" w:hAnsi="Verdana"/>
          <w:i/>
          <w:sz w:val="18"/>
          <w:szCs w:val="18"/>
          <w:lang w:eastAsia="en-US"/>
        </w:rPr>
        <w:t>caput</w:t>
      </w:r>
      <w:r w:rsidRPr="00C34AED">
        <w:rPr>
          <w:rFonts w:ascii="Verdana" w:eastAsiaTheme="minorHAnsi" w:hAnsi="Verdana"/>
          <w:sz w:val="18"/>
          <w:szCs w:val="18"/>
          <w:lang w:eastAsia="en-US"/>
        </w:rPr>
        <w:t xml:space="preserve"> deste artigo, e da mesma forma, dois membros do Tribunal para comporem a comissão na condição de suplentes, sendo um dentre os membros representantes da Secretaria de Estado de Fazenda e um dentre os membros r</w:t>
      </w:r>
      <w:r w:rsidRPr="00C34AED">
        <w:rPr>
          <w:rFonts w:ascii="Verdana" w:hAnsi="Verdana"/>
          <w:sz w:val="18"/>
          <w:szCs w:val="18"/>
        </w:rPr>
        <w:t>epresentantes de entidades de interesse dos contribuintes</w:t>
      </w:r>
      <w:r w:rsidRPr="00C34AED">
        <w:rPr>
          <w:rFonts w:ascii="Verdana" w:eastAsiaTheme="minorHAnsi" w:hAnsi="Verdana"/>
          <w:sz w:val="18"/>
          <w:szCs w:val="18"/>
          <w:lang w:eastAsia="en-US"/>
        </w:rPr>
        <w:t>.</w:t>
      </w:r>
      <w:r w:rsidR="00F7466B" w:rsidRPr="00C34AED">
        <w:rPr>
          <w:rFonts w:ascii="Verdana" w:eastAsiaTheme="minorHAnsi" w:hAnsi="Verdana"/>
          <w:sz w:val="18"/>
          <w:szCs w:val="18"/>
          <w:lang w:eastAsia="en-US"/>
        </w:rPr>
        <w:t xml:space="preserve"> (NR)</w:t>
      </w:r>
    </w:p>
    <w:p w14:paraId="5B6FF51F" w14:textId="2B066AE9" w:rsidR="00415911" w:rsidRPr="00C34AED" w:rsidRDefault="00F7466B"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w:t>
      </w:r>
      <w:r w:rsidR="00C71DD7" w:rsidRPr="00C34AED">
        <w:rPr>
          <w:rFonts w:ascii="Verdana" w:eastAsia="Times New Roman" w:hAnsi="Verdana" w:cs="Times New Roman"/>
          <w:sz w:val="18"/>
          <w:szCs w:val="18"/>
          <w:lang w:eastAsia="pt-BR"/>
        </w:rPr>
        <w:t>.........</w:t>
      </w:r>
      <w:r w:rsidRPr="00C34AED">
        <w:rPr>
          <w:rFonts w:ascii="Verdana" w:eastAsia="Times New Roman" w:hAnsi="Verdana" w:cs="Times New Roman"/>
          <w:sz w:val="18"/>
          <w:szCs w:val="18"/>
          <w:lang w:eastAsia="pt-BR"/>
        </w:rPr>
        <w:t>.......</w:t>
      </w:r>
    </w:p>
    <w:p w14:paraId="7D44ADA7" w14:textId="77777777" w:rsidR="00415911" w:rsidRPr="00C34AED" w:rsidRDefault="00415911"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44520837" w14:textId="29A0CFD3" w:rsidR="009845E4" w:rsidRPr="00C34AED" w:rsidRDefault="009845E4" w:rsidP="009845E4">
      <w:pPr>
        <w:pStyle w:val="PargrafodaLista"/>
        <w:suppressAutoHyphens w:val="0"/>
        <w:spacing w:after="0" w:line="259" w:lineRule="auto"/>
        <w:ind w:left="1701"/>
        <w:contextualSpacing/>
        <w:jc w:val="both"/>
        <w:rPr>
          <w:rFonts w:ascii="Verdana" w:eastAsiaTheme="minorHAnsi" w:hAnsi="Verdana" w:cs="Times New Roman"/>
          <w:sz w:val="18"/>
          <w:szCs w:val="18"/>
          <w:lang w:eastAsia="en-US"/>
        </w:rPr>
      </w:pPr>
      <w:r w:rsidRPr="00C34AED">
        <w:rPr>
          <w:rFonts w:ascii="Verdana" w:eastAsiaTheme="minorHAnsi" w:hAnsi="Verdana" w:cs="Times New Roman"/>
          <w:sz w:val="18"/>
          <w:szCs w:val="18"/>
          <w:lang w:eastAsia="en-US"/>
        </w:rPr>
        <w:t xml:space="preserve">§ 1º-B Os membros da comissão exercem a respectiva função por seis meses, compreendendo anualmente os períodos de </w:t>
      </w:r>
      <w:r w:rsidR="0007260C" w:rsidRPr="00C34AED">
        <w:rPr>
          <w:rFonts w:ascii="Verdana" w:eastAsiaTheme="minorHAnsi" w:hAnsi="Verdana" w:cs="Times New Roman"/>
          <w:sz w:val="18"/>
          <w:szCs w:val="18"/>
          <w:lang w:eastAsia="en-US"/>
        </w:rPr>
        <w:t>1º</w:t>
      </w:r>
      <w:r w:rsidRPr="00C34AED">
        <w:rPr>
          <w:rFonts w:ascii="Verdana" w:eastAsiaTheme="minorHAnsi" w:hAnsi="Verdana" w:cs="Times New Roman"/>
          <w:sz w:val="18"/>
          <w:szCs w:val="18"/>
          <w:lang w:eastAsia="en-US"/>
        </w:rPr>
        <w:t xml:space="preserve"> de janeiro a 30 de junho e</w:t>
      </w:r>
      <w:r w:rsidR="0007260C" w:rsidRPr="00C34AED">
        <w:rPr>
          <w:rFonts w:ascii="Verdana" w:eastAsiaTheme="minorHAnsi" w:hAnsi="Verdana" w:cs="Times New Roman"/>
          <w:sz w:val="18"/>
          <w:szCs w:val="18"/>
          <w:lang w:eastAsia="en-US"/>
        </w:rPr>
        <w:t xml:space="preserve"> 1º</w:t>
      </w:r>
      <w:r w:rsidRPr="00C34AED">
        <w:rPr>
          <w:rFonts w:ascii="Verdana" w:eastAsiaTheme="minorHAnsi" w:hAnsi="Verdana" w:cs="Times New Roman"/>
          <w:sz w:val="18"/>
          <w:szCs w:val="18"/>
          <w:lang w:eastAsia="en-US"/>
        </w:rPr>
        <w:t xml:space="preserve"> de julho a 31 de dezembro, permitida a recondução.</w:t>
      </w:r>
      <w:r w:rsidR="00F7466B" w:rsidRPr="00C34AED">
        <w:rPr>
          <w:rFonts w:ascii="Verdana" w:eastAsiaTheme="minorHAnsi" w:hAnsi="Verdana" w:cs="Times New Roman"/>
          <w:sz w:val="18"/>
          <w:szCs w:val="18"/>
          <w:lang w:eastAsia="en-US"/>
        </w:rPr>
        <w:t xml:space="preserve"> </w:t>
      </w:r>
      <w:r w:rsidR="00DD339A" w:rsidRPr="00C34AED">
        <w:rPr>
          <w:rFonts w:ascii="Verdana" w:eastAsiaTheme="minorHAnsi" w:hAnsi="Verdana" w:cs="Times New Roman"/>
          <w:sz w:val="18"/>
          <w:szCs w:val="18"/>
          <w:lang w:eastAsia="en-US"/>
        </w:rPr>
        <w:t>(NR)</w:t>
      </w:r>
    </w:p>
    <w:p w14:paraId="2EDA21B9" w14:textId="014C79DF" w:rsidR="001B7FF9" w:rsidRPr="00C34AED" w:rsidRDefault="001B7FF9" w:rsidP="009845E4">
      <w:pPr>
        <w:pStyle w:val="PargrafodaLista"/>
        <w:suppressAutoHyphens w:val="0"/>
        <w:spacing w:after="0" w:line="259" w:lineRule="auto"/>
        <w:ind w:left="1701"/>
        <w:contextualSpacing/>
        <w:jc w:val="both"/>
        <w:rPr>
          <w:rFonts w:ascii="Verdana" w:eastAsiaTheme="minorHAnsi" w:hAnsi="Verdana" w:cs="Times New Roman"/>
          <w:sz w:val="18"/>
          <w:szCs w:val="18"/>
          <w:lang w:eastAsia="en-US"/>
        </w:rPr>
      </w:pPr>
    </w:p>
    <w:p w14:paraId="6DEC144F" w14:textId="4712B911" w:rsidR="001B7FF9" w:rsidRPr="00C34AED" w:rsidRDefault="001B7FF9" w:rsidP="009845E4">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heme="minorHAnsi" w:hAnsi="Verdana"/>
          <w:sz w:val="18"/>
          <w:szCs w:val="18"/>
          <w:lang w:eastAsia="en-US"/>
        </w:rPr>
        <w:t>......................</w:t>
      </w:r>
      <w:r w:rsidR="00C71DD7" w:rsidRPr="00C34AED">
        <w:rPr>
          <w:rFonts w:ascii="Verdana" w:eastAsiaTheme="minorHAnsi" w:hAnsi="Verdana"/>
          <w:sz w:val="18"/>
          <w:szCs w:val="18"/>
          <w:lang w:eastAsia="en-US"/>
        </w:rPr>
        <w:t>..............</w:t>
      </w:r>
      <w:r w:rsidRPr="00C34AED">
        <w:rPr>
          <w:rFonts w:ascii="Verdana" w:eastAsiaTheme="minorHAnsi" w:hAnsi="Verdana"/>
          <w:sz w:val="18"/>
          <w:szCs w:val="18"/>
          <w:lang w:eastAsia="en-US"/>
        </w:rPr>
        <w:t>.......</w:t>
      </w:r>
    </w:p>
    <w:p w14:paraId="4AA962C2" w14:textId="5F3E8F88" w:rsidR="009845E4" w:rsidRPr="00C34AED" w:rsidRDefault="009845E4"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7E153330" w14:textId="22A2EEBA" w:rsidR="009845E4" w:rsidRPr="00C34AED" w:rsidRDefault="001B7FF9" w:rsidP="00F33B3B">
      <w:pPr>
        <w:pStyle w:val="PargrafodaLista"/>
        <w:suppressAutoHyphens w:val="0"/>
        <w:spacing w:after="0" w:line="259" w:lineRule="auto"/>
        <w:ind w:left="1701"/>
        <w:contextualSpacing/>
        <w:jc w:val="both"/>
        <w:rPr>
          <w:rFonts w:ascii="Verdana" w:eastAsiaTheme="minorHAnsi" w:hAnsi="Verdana" w:cs="Times New Roman"/>
          <w:sz w:val="18"/>
          <w:szCs w:val="18"/>
          <w:lang w:eastAsia="en-US"/>
        </w:rPr>
      </w:pPr>
      <w:r w:rsidRPr="00C34AED">
        <w:rPr>
          <w:rFonts w:ascii="Verdana" w:eastAsiaTheme="minorHAnsi" w:hAnsi="Verdana" w:cs="Times New Roman"/>
          <w:sz w:val="18"/>
          <w:szCs w:val="18"/>
          <w:lang w:eastAsia="en-US"/>
        </w:rPr>
        <w:t>§ 1º-D Integram a comissão de que trata esse artigo o Presidente do T</w:t>
      </w:r>
      <w:r w:rsidR="00F7466B" w:rsidRPr="00C34AED">
        <w:rPr>
          <w:rFonts w:ascii="Verdana" w:eastAsiaTheme="minorHAnsi" w:hAnsi="Verdana" w:cs="Times New Roman"/>
          <w:sz w:val="18"/>
          <w:szCs w:val="18"/>
          <w:lang w:eastAsia="en-US"/>
        </w:rPr>
        <w:t xml:space="preserve">ribunal </w:t>
      </w:r>
      <w:r w:rsidRPr="00C34AED">
        <w:rPr>
          <w:rFonts w:ascii="Verdana" w:eastAsiaTheme="minorHAnsi" w:hAnsi="Verdana" w:cs="Times New Roman"/>
          <w:sz w:val="18"/>
          <w:szCs w:val="18"/>
          <w:lang w:eastAsia="en-US"/>
        </w:rPr>
        <w:t>A</w:t>
      </w:r>
      <w:r w:rsidR="00F7466B" w:rsidRPr="00C34AED">
        <w:rPr>
          <w:rFonts w:ascii="Verdana" w:eastAsiaTheme="minorHAnsi" w:hAnsi="Verdana" w:cs="Times New Roman"/>
          <w:sz w:val="18"/>
          <w:szCs w:val="18"/>
          <w:lang w:eastAsia="en-US"/>
        </w:rPr>
        <w:t xml:space="preserve">dministrativo </w:t>
      </w:r>
      <w:r w:rsidRPr="00C34AED">
        <w:rPr>
          <w:rFonts w:ascii="Verdana" w:eastAsiaTheme="minorHAnsi" w:hAnsi="Verdana" w:cs="Times New Roman"/>
          <w:sz w:val="18"/>
          <w:szCs w:val="18"/>
          <w:lang w:eastAsia="en-US"/>
        </w:rPr>
        <w:t>T</w:t>
      </w:r>
      <w:r w:rsidR="00F7466B" w:rsidRPr="00C34AED">
        <w:rPr>
          <w:rFonts w:ascii="Verdana" w:eastAsiaTheme="minorHAnsi" w:hAnsi="Verdana" w:cs="Times New Roman"/>
          <w:sz w:val="18"/>
          <w:szCs w:val="18"/>
          <w:lang w:eastAsia="en-US"/>
        </w:rPr>
        <w:t>ributário</w:t>
      </w:r>
      <w:r w:rsidRPr="00C34AED">
        <w:rPr>
          <w:rFonts w:ascii="Verdana" w:eastAsiaTheme="minorHAnsi" w:hAnsi="Verdana" w:cs="Times New Roman"/>
          <w:sz w:val="18"/>
          <w:szCs w:val="18"/>
          <w:lang w:eastAsia="en-US"/>
        </w:rPr>
        <w:t xml:space="preserve"> e o representante da P</w:t>
      </w:r>
      <w:r w:rsidR="00F7466B" w:rsidRPr="00C34AED">
        <w:rPr>
          <w:rFonts w:ascii="Verdana" w:eastAsiaTheme="minorHAnsi" w:hAnsi="Verdana" w:cs="Times New Roman"/>
          <w:sz w:val="18"/>
          <w:szCs w:val="18"/>
          <w:lang w:eastAsia="en-US"/>
        </w:rPr>
        <w:t xml:space="preserve">rocuradoria </w:t>
      </w:r>
      <w:r w:rsidRPr="00C34AED">
        <w:rPr>
          <w:rFonts w:ascii="Verdana" w:eastAsiaTheme="minorHAnsi" w:hAnsi="Verdana" w:cs="Times New Roman"/>
          <w:sz w:val="18"/>
          <w:szCs w:val="18"/>
          <w:lang w:eastAsia="en-US"/>
        </w:rPr>
        <w:t>G</w:t>
      </w:r>
      <w:r w:rsidR="00F7466B" w:rsidRPr="00C34AED">
        <w:rPr>
          <w:rFonts w:ascii="Verdana" w:eastAsiaTheme="minorHAnsi" w:hAnsi="Verdana" w:cs="Times New Roman"/>
          <w:sz w:val="18"/>
          <w:szCs w:val="18"/>
          <w:lang w:eastAsia="en-US"/>
        </w:rPr>
        <w:t xml:space="preserve">eral do </w:t>
      </w:r>
      <w:r w:rsidRPr="00C34AED">
        <w:rPr>
          <w:rFonts w:ascii="Verdana" w:eastAsiaTheme="minorHAnsi" w:hAnsi="Verdana" w:cs="Times New Roman"/>
          <w:sz w:val="18"/>
          <w:szCs w:val="18"/>
          <w:lang w:eastAsia="en-US"/>
        </w:rPr>
        <w:t>E</w:t>
      </w:r>
      <w:r w:rsidR="00F7466B" w:rsidRPr="00C34AED">
        <w:rPr>
          <w:rFonts w:ascii="Verdana" w:eastAsiaTheme="minorHAnsi" w:hAnsi="Verdana" w:cs="Times New Roman"/>
          <w:sz w:val="18"/>
          <w:szCs w:val="18"/>
          <w:lang w:eastAsia="en-US"/>
        </w:rPr>
        <w:t>stado</w:t>
      </w:r>
      <w:r w:rsidRPr="00C34AED">
        <w:rPr>
          <w:rFonts w:ascii="Verdana" w:eastAsiaTheme="minorHAnsi" w:hAnsi="Verdana" w:cs="Times New Roman"/>
          <w:sz w:val="18"/>
          <w:szCs w:val="18"/>
          <w:lang w:eastAsia="en-US"/>
        </w:rPr>
        <w:t>.</w:t>
      </w:r>
      <w:r w:rsidR="00F7466B" w:rsidRPr="00C34AED">
        <w:rPr>
          <w:rFonts w:ascii="Verdana" w:eastAsiaTheme="minorHAnsi" w:hAnsi="Verdana" w:cs="Times New Roman"/>
          <w:sz w:val="18"/>
          <w:szCs w:val="18"/>
          <w:lang w:eastAsia="en-US"/>
        </w:rPr>
        <w:t xml:space="preserve"> (NR)</w:t>
      </w:r>
    </w:p>
    <w:p w14:paraId="204B6645" w14:textId="079F2210" w:rsidR="001B7FF9" w:rsidRPr="00C34AED" w:rsidRDefault="001B7FF9" w:rsidP="00F33B3B">
      <w:pPr>
        <w:pStyle w:val="PargrafodaLista"/>
        <w:suppressAutoHyphens w:val="0"/>
        <w:spacing w:after="0" w:line="259" w:lineRule="auto"/>
        <w:ind w:left="1701"/>
        <w:contextualSpacing/>
        <w:jc w:val="both"/>
        <w:rPr>
          <w:rFonts w:ascii="Verdana" w:eastAsiaTheme="minorHAnsi" w:hAnsi="Verdana" w:cs="Times New Roman"/>
          <w:sz w:val="18"/>
          <w:szCs w:val="18"/>
          <w:lang w:eastAsia="en-US"/>
        </w:rPr>
      </w:pPr>
    </w:p>
    <w:p w14:paraId="7EEA6DBD" w14:textId="1B0F9744" w:rsidR="001B7FF9" w:rsidRPr="00C34AED" w:rsidRDefault="001B7FF9"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heme="minorHAnsi" w:hAnsi="Verdana" w:cs="Times New Roman"/>
          <w:sz w:val="18"/>
          <w:szCs w:val="18"/>
          <w:lang w:eastAsia="en-US"/>
        </w:rPr>
        <w:t>......................</w:t>
      </w:r>
      <w:r w:rsidR="00C71DD7" w:rsidRPr="00C34AED">
        <w:rPr>
          <w:rFonts w:ascii="Verdana" w:eastAsiaTheme="minorHAnsi" w:hAnsi="Verdana" w:cs="Times New Roman"/>
          <w:sz w:val="18"/>
          <w:szCs w:val="18"/>
          <w:lang w:eastAsia="en-US"/>
        </w:rPr>
        <w:t>....................</w:t>
      </w:r>
      <w:r w:rsidRPr="00C34AED">
        <w:rPr>
          <w:rFonts w:ascii="Verdana" w:eastAsiaTheme="minorHAnsi" w:hAnsi="Verdana" w:cs="Times New Roman"/>
          <w:sz w:val="18"/>
          <w:szCs w:val="18"/>
          <w:lang w:eastAsia="en-US"/>
        </w:rPr>
        <w:t>.....</w:t>
      </w:r>
    </w:p>
    <w:p w14:paraId="21C2AC20" w14:textId="77777777" w:rsidR="009845E4" w:rsidRPr="00C34AED" w:rsidRDefault="009845E4"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78C8056F" w14:textId="0180A91C" w:rsidR="00E74967"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 2º As sessões de apreciação e aprovação de redação de ementas podem ser realizadas </w:t>
      </w:r>
      <w:r w:rsidR="007C228D" w:rsidRPr="00C34AED">
        <w:rPr>
          <w:rFonts w:ascii="Verdana" w:eastAsia="Times New Roman" w:hAnsi="Verdana" w:cs="Times New Roman"/>
          <w:sz w:val="18"/>
          <w:szCs w:val="18"/>
          <w:lang w:eastAsia="pt-BR"/>
        </w:rPr>
        <w:t>em qualquer dia da semana</w:t>
      </w:r>
      <w:r w:rsidRPr="00C34AED">
        <w:rPr>
          <w:rFonts w:ascii="Verdana" w:eastAsia="Times New Roman" w:hAnsi="Verdana" w:cs="Times New Roman"/>
          <w:sz w:val="18"/>
          <w:szCs w:val="18"/>
          <w:lang w:eastAsia="pt-BR"/>
        </w:rPr>
        <w:t>, com início às oito horas</w:t>
      </w:r>
      <w:r w:rsidR="00AD567E" w:rsidRPr="00C34AED">
        <w:rPr>
          <w:rFonts w:ascii="Verdana" w:eastAsia="Times New Roman" w:hAnsi="Verdana" w:cs="Times New Roman"/>
          <w:sz w:val="18"/>
          <w:szCs w:val="18"/>
          <w:lang w:eastAsia="pt-BR"/>
        </w:rPr>
        <w:t xml:space="preserve"> e quinze minutos</w:t>
      </w:r>
      <w:r w:rsidRPr="00C34AED">
        <w:rPr>
          <w:rFonts w:ascii="Verdana" w:eastAsia="Times New Roman" w:hAnsi="Verdana" w:cs="Times New Roman"/>
          <w:sz w:val="18"/>
          <w:szCs w:val="18"/>
          <w:lang w:eastAsia="pt-BR"/>
        </w:rPr>
        <w:t xml:space="preserve"> e encerramento às doze horas, ou com início às treze horas e quarenta e cinco minutos e encerramento às dezessete horas e trinta minutos, observado o seguinte:</w:t>
      </w:r>
    </w:p>
    <w:p w14:paraId="2C8577CD" w14:textId="77777777" w:rsidR="00E74967"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p>
    <w:p w14:paraId="1751C36D" w14:textId="0AF4E138" w:rsidR="00E74967"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I – </w:t>
      </w:r>
      <w:proofErr w:type="gramStart"/>
      <w:r w:rsidRPr="00C34AED">
        <w:rPr>
          <w:rFonts w:ascii="Verdana" w:eastAsia="Times New Roman" w:hAnsi="Verdana" w:cs="Times New Roman"/>
          <w:sz w:val="18"/>
          <w:szCs w:val="18"/>
          <w:lang w:eastAsia="pt-BR"/>
        </w:rPr>
        <w:t>a</w:t>
      </w:r>
      <w:proofErr w:type="gramEnd"/>
      <w:r w:rsidRPr="00C34AED">
        <w:rPr>
          <w:rFonts w:ascii="Verdana" w:eastAsia="Times New Roman" w:hAnsi="Verdana" w:cs="Times New Roman"/>
          <w:sz w:val="18"/>
          <w:szCs w:val="18"/>
          <w:lang w:eastAsia="pt-BR"/>
        </w:rPr>
        <w:t xml:space="preserve"> convocação para a sua realização deve ser feita com antecedência de quarenta </w:t>
      </w:r>
      <w:r w:rsidR="00C37C54" w:rsidRPr="00C34AED">
        <w:rPr>
          <w:rFonts w:ascii="Verdana" w:eastAsia="Times New Roman" w:hAnsi="Verdana" w:cs="Times New Roman"/>
          <w:sz w:val="18"/>
          <w:szCs w:val="18"/>
          <w:lang w:eastAsia="pt-BR"/>
        </w:rPr>
        <w:t>e</w:t>
      </w:r>
      <w:r w:rsidRPr="00C34AED">
        <w:rPr>
          <w:rFonts w:ascii="Verdana" w:eastAsia="Times New Roman" w:hAnsi="Verdana" w:cs="Times New Roman"/>
          <w:sz w:val="18"/>
          <w:szCs w:val="18"/>
          <w:lang w:eastAsia="pt-BR"/>
        </w:rPr>
        <w:t xml:space="preserve"> oito horas;</w:t>
      </w:r>
    </w:p>
    <w:p w14:paraId="36C2D8CE" w14:textId="77777777" w:rsidR="00E74967"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 </w:t>
      </w:r>
    </w:p>
    <w:p w14:paraId="5F45B254" w14:textId="3F9D2267" w:rsidR="007F04F8" w:rsidRPr="00C34AED" w:rsidRDefault="00E74967" w:rsidP="00F33B3B">
      <w:pPr>
        <w:pStyle w:val="PargrafodaLista"/>
        <w:suppressAutoHyphens w:val="0"/>
        <w:spacing w:after="0" w:line="259" w:lineRule="auto"/>
        <w:ind w:left="1701"/>
        <w:contextualSpacing/>
        <w:jc w:val="both"/>
        <w:rPr>
          <w:rFonts w:ascii="Verdana" w:eastAsia="Times New Roman" w:hAnsi="Verdana" w:cs="Times New Roman"/>
          <w:sz w:val="18"/>
          <w:szCs w:val="18"/>
          <w:lang w:eastAsia="pt-BR"/>
        </w:rPr>
      </w:pPr>
      <w:r w:rsidRPr="00C34AED">
        <w:rPr>
          <w:rFonts w:ascii="Verdana" w:eastAsia="Times New Roman" w:hAnsi="Verdana" w:cs="Times New Roman"/>
          <w:sz w:val="18"/>
          <w:szCs w:val="18"/>
          <w:lang w:eastAsia="pt-BR"/>
        </w:rPr>
        <w:t xml:space="preserve">II – </w:t>
      </w:r>
      <w:proofErr w:type="gramStart"/>
      <w:r w:rsidR="009B090F" w:rsidRPr="00C34AED">
        <w:rPr>
          <w:rFonts w:ascii="Verdana" w:eastAsia="Times New Roman" w:hAnsi="Verdana" w:cs="Times New Roman"/>
          <w:sz w:val="18"/>
          <w:szCs w:val="18"/>
          <w:lang w:eastAsia="pt-BR"/>
        </w:rPr>
        <w:t>a</w:t>
      </w:r>
      <w:proofErr w:type="gramEnd"/>
      <w:r w:rsidR="009B090F" w:rsidRPr="00C34AED">
        <w:rPr>
          <w:rFonts w:ascii="Verdana" w:eastAsia="Times New Roman" w:hAnsi="Verdana" w:cs="Times New Roman"/>
          <w:sz w:val="18"/>
          <w:szCs w:val="18"/>
          <w:lang w:eastAsia="pt-BR"/>
        </w:rPr>
        <w:t xml:space="preserve"> </w:t>
      </w:r>
      <w:r w:rsidRPr="00C34AED">
        <w:rPr>
          <w:rFonts w:ascii="Verdana" w:eastAsia="Times New Roman" w:hAnsi="Verdana" w:cs="Times New Roman"/>
          <w:sz w:val="18"/>
          <w:szCs w:val="18"/>
          <w:lang w:eastAsia="pt-BR"/>
        </w:rPr>
        <w:t xml:space="preserve">convocação </w:t>
      </w:r>
      <w:r w:rsidR="009B090F" w:rsidRPr="00C34AED">
        <w:rPr>
          <w:rFonts w:ascii="Verdana" w:eastAsia="Times New Roman" w:hAnsi="Verdana" w:cs="Times New Roman"/>
          <w:sz w:val="18"/>
          <w:szCs w:val="18"/>
          <w:lang w:eastAsia="pt-BR"/>
        </w:rPr>
        <w:t>po</w:t>
      </w:r>
      <w:r w:rsidR="00226D4B" w:rsidRPr="00C34AED">
        <w:rPr>
          <w:rFonts w:ascii="Verdana" w:eastAsia="Times New Roman" w:hAnsi="Verdana" w:cs="Times New Roman"/>
          <w:sz w:val="18"/>
          <w:szCs w:val="18"/>
          <w:lang w:eastAsia="pt-BR"/>
        </w:rPr>
        <w:t>de</w:t>
      </w:r>
      <w:r w:rsidR="009B090F" w:rsidRPr="00C34AED">
        <w:rPr>
          <w:rFonts w:ascii="Verdana" w:eastAsia="Times New Roman" w:hAnsi="Verdana" w:cs="Times New Roman"/>
          <w:sz w:val="18"/>
          <w:szCs w:val="18"/>
          <w:lang w:eastAsia="pt-BR"/>
        </w:rPr>
        <w:t xml:space="preserve"> ser cancelada, mediante aviso aos componentes da Comissão, </w:t>
      </w:r>
      <w:r w:rsidRPr="00C34AED">
        <w:rPr>
          <w:rFonts w:ascii="Verdana" w:eastAsia="Times New Roman" w:hAnsi="Verdana" w:cs="Times New Roman"/>
          <w:sz w:val="18"/>
          <w:szCs w:val="18"/>
          <w:lang w:eastAsia="pt-BR"/>
        </w:rPr>
        <w:t>até uma ho</w:t>
      </w:r>
      <w:r w:rsidR="00EA5D63" w:rsidRPr="00C34AED">
        <w:rPr>
          <w:rFonts w:ascii="Verdana" w:eastAsia="Times New Roman" w:hAnsi="Verdana" w:cs="Times New Roman"/>
          <w:sz w:val="18"/>
          <w:szCs w:val="18"/>
          <w:lang w:eastAsia="pt-BR"/>
        </w:rPr>
        <w:t>ra antes do iní</w:t>
      </w:r>
      <w:r w:rsidRPr="00C34AED">
        <w:rPr>
          <w:rFonts w:ascii="Verdana" w:eastAsia="Times New Roman" w:hAnsi="Verdana" w:cs="Times New Roman"/>
          <w:sz w:val="18"/>
          <w:szCs w:val="18"/>
          <w:lang w:eastAsia="pt-BR"/>
        </w:rPr>
        <w:t xml:space="preserve">cio da respectiva </w:t>
      </w:r>
      <w:r w:rsidR="00C34AED" w:rsidRPr="00C34AED">
        <w:rPr>
          <w:rFonts w:ascii="Verdana" w:eastAsia="Times New Roman" w:hAnsi="Verdana" w:cs="Times New Roman"/>
          <w:sz w:val="18"/>
          <w:szCs w:val="18"/>
          <w:lang w:eastAsia="pt-BR"/>
        </w:rPr>
        <w:t>sessão. ”</w:t>
      </w:r>
      <w:r w:rsidR="00F7466B" w:rsidRPr="00C34AED">
        <w:rPr>
          <w:rFonts w:ascii="Verdana" w:eastAsia="Times New Roman" w:hAnsi="Verdana" w:cs="Times New Roman"/>
          <w:sz w:val="18"/>
          <w:szCs w:val="18"/>
          <w:lang w:eastAsia="pt-BR"/>
        </w:rPr>
        <w:t xml:space="preserve"> (NR)</w:t>
      </w:r>
    </w:p>
    <w:p w14:paraId="64B6F109" w14:textId="77777777" w:rsidR="00E74967" w:rsidRPr="00C34AED" w:rsidRDefault="00E74967" w:rsidP="00987E3C">
      <w:pPr>
        <w:pStyle w:val="PargrafodaLista"/>
        <w:suppressAutoHyphens w:val="0"/>
        <w:spacing w:after="0" w:line="240" w:lineRule="auto"/>
        <w:ind w:leftChars="708" w:left="1699"/>
        <w:contextualSpacing/>
        <w:jc w:val="both"/>
        <w:rPr>
          <w:rFonts w:ascii="Verdana" w:hAnsi="Verdana" w:cs="Times New Roman"/>
          <w:i/>
          <w:iCs/>
          <w:sz w:val="18"/>
          <w:szCs w:val="18"/>
        </w:rPr>
      </w:pPr>
    </w:p>
    <w:p w14:paraId="09862A7A" w14:textId="77777777" w:rsidR="00531E39" w:rsidRPr="00C34AED" w:rsidRDefault="008E0962" w:rsidP="008E0962">
      <w:pPr>
        <w:ind w:firstLine="1418"/>
        <w:jc w:val="both"/>
        <w:rPr>
          <w:rFonts w:ascii="Verdana" w:hAnsi="Verdana" w:cs="Arial"/>
          <w:sz w:val="18"/>
          <w:szCs w:val="18"/>
        </w:rPr>
      </w:pPr>
      <w:r w:rsidRPr="00C34AED">
        <w:rPr>
          <w:rFonts w:ascii="Verdana" w:hAnsi="Verdana" w:cs="Arial"/>
          <w:sz w:val="18"/>
          <w:szCs w:val="18"/>
        </w:rPr>
        <w:t xml:space="preserve">Art. </w:t>
      </w:r>
      <w:r w:rsidR="00CA64E1" w:rsidRPr="00C34AED">
        <w:rPr>
          <w:rFonts w:ascii="Verdana" w:hAnsi="Verdana" w:cs="Arial"/>
          <w:sz w:val="18"/>
          <w:szCs w:val="18"/>
        </w:rPr>
        <w:t>3</w:t>
      </w:r>
      <w:r w:rsidRPr="00C34AED">
        <w:rPr>
          <w:rFonts w:ascii="Verdana" w:hAnsi="Verdana" w:cs="Arial"/>
          <w:sz w:val="18"/>
          <w:szCs w:val="18"/>
        </w:rPr>
        <w:t>º Esta Resolução entra em vigor na data de sua publicação</w:t>
      </w:r>
      <w:r w:rsidR="00531E39" w:rsidRPr="00C34AED">
        <w:rPr>
          <w:rFonts w:ascii="Verdana" w:hAnsi="Verdana" w:cs="Arial"/>
          <w:sz w:val="18"/>
          <w:szCs w:val="18"/>
        </w:rPr>
        <w:t>.</w:t>
      </w:r>
    </w:p>
    <w:p w14:paraId="6C832738" w14:textId="77777777" w:rsidR="00531E39" w:rsidRPr="00C34AED" w:rsidRDefault="00531E39" w:rsidP="008E0962">
      <w:pPr>
        <w:ind w:firstLine="1418"/>
        <w:jc w:val="both"/>
        <w:rPr>
          <w:rFonts w:ascii="Verdana" w:hAnsi="Verdana" w:cs="Arial"/>
          <w:sz w:val="18"/>
          <w:szCs w:val="18"/>
        </w:rPr>
      </w:pPr>
    </w:p>
    <w:p w14:paraId="163A4D3A" w14:textId="77777777" w:rsidR="008E0962" w:rsidRPr="00C34AED" w:rsidRDefault="008E0962" w:rsidP="008E0962">
      <w:pPr>
        <w:ind w:firstLine="1418"/>
        <w:jc w:val="both"/>
        <w:rPr>
          <w:rFonts w:ascii="Verdana" w:hAnsi="Verdana" w:cs="Arial"/>
          <w:sz w:val="18"/>
          <w:szCs w:val="18"/>
        </w:rPr>
      </w:pPr>
    </w:p>
    <w:p w14:paraId="55B16902" w14:textId="50A3FF40" w:rsidR="008E0962" w:rsidRPr="00C34AED" w:rsidRDefault="008E0962" w:rsidP="008E0962">
      <w:pPr>
        <w:ind w:firstLine="1418"/>
        <w:jc w:val="both"/>
        <w:rPr>
          <w:rFonts w:ascii="Verdana" w:hAnsi="Verdana" w:cs="Arial"/>
          <w:sz w:val="18"/>
          <w:szCs w:val="18"/>
        </w:rPr>
      </w:pPr>
      <w:r w:rsidRPr="00C34AED">
        <w:rPr>
          <w:rFonts w:ascii="Verdana" w:hAnsi="Verdana" w:cs="Arial"/>
          <w:sz w:val="18"/>
          <w:szCs w:val="18"/>
        </w:rPr>
        <w:t>Campo Grande</w:t>
      </w:r>
      <w:r w:rsidR="00C34AED">
        <w:rPr>
          <w:rFonts w:ascii="Verdana" w:hAnsi="Verdana" w:cs="Arial"/>
          <w:sz w:val="18"/>
          <w:szCs w:val="18"/>
        </w:rPr>
        <w:t>-MS, 4 de julho de 2024.</w:t>
      </w:r>
    </w:p>
    <w:p w14:paraId="121661BF" w14:textId="77777777" w:rsidR="008E0962" w:rsidRPr="00C34AED" w:rsidRDefault="008E0962" w:rsidP="008E0962">
      <w:pPr>
        <w:ind w:firstLine="1418"/>
        <w:jc w:val="both"/>
        <w:rPr>
          <w:rFonts w:ascii="Verdana" w:hAnsi="Verdana" w:cs="Arial"/>
          <w:sz w:val="18"/>
          <w:szCs w:val="18"/>
        </w:rPr>
      </w:pPr>
    </w:p>
    <w:p w14:paraId="7FB0A510" w14:textId="77777777" w:rsidR="008E0962" w:rsidRPr="00C34AED" w:rsidRDefault="008E0962" w:rsidP="008E0962">
      <w:pPr>
        <w:ind w:firstLine="1418"/>
        <w:jc w:val="both"/>
        <w:rPr>
          <w:rFonts w:ascii="Verdana" w:hAnsi="Verdana" w:cs="Arial"/>
          <w:sz w:val="18"/>
          <w:szCs w:val="18"/>
        </w:rPr>
      </w:pPr>
    </w:p>
    <w:p w14:paraId="36B95E5C" w14:textId="77777777" w:rsidR="008E0962" w:rsidRPr="00C34AED" w:rsidRDefault="008E0962" w:rsidP="008E0962">
      <w:pPr>
        <w:ind w:firstLine="1418"/>
        <w:jc w:val="both"/>
        <w:rPr>
          <w:rFonts w:ascii="Verdana" w:hAnsi="Verdana" w:cs="Arial"/>
          <w:sz w:val="18"/>
          <w:szCs w:val="18"/>
        </w:rPr>
      </w:pPr>
      <w:r w:rsidRPr="00C34AED">
        <w:rPr>
          <w:rFonts w:ascii="Verdana" w:hAnsi="Verdana" w:cs="Arial"/>
          <w:sz w:val="18"/>
          <w:szCs w:val="18"/>
        </w:rPr>
        <w:t>Josafá José Ferreira do Carmo</w:t>
      </w:r>
    </w:p>
    <w:p w14:paraId="0065B988" w14:textId="62AB3E2B" w:rsidR="008E0962" w:rsidRDefault="008E0962" w:rsidP="0020527B">
      <w:pPr>
        <w:ind w:firstLine="1418"/>
        <w:jc w:val="both"/>
        <w:rPr>
          <w:rFonts w:ascii="Verdana" w:hAnsi="Verdana" w:cs="Arial"/>
          <w:sz w:val="18"/>
          <w:szCs w:val="18"/>
        </w:rPr>
      </w:pPr>
      <w:r w:rsidRPr="00C34AED">
        <w:rPr>
          <w:rFonts w:ascii="Verdana" w:hAnsi="Verdana" w:cs="Arial"/>
          <w:sz w:val="18"/>
          <w:szCs w:val="18"/>
        </w:rPr>
        <w:t xml:space="preserve">         Presidente do TAT</w:t>
      </w:r>
    </w:p>
    <w:p w14:paraId="5E7CE34B" w14:textId="78288EC2" w:rsidR="00C34AED" w:rsidRDefault="00C34AED" w:rsidP="0020527B">
      <w:pPr>
        <w:ind w:firstLine="1418"/>
        <w:jc w:val="both"/>
        <w:rPr>
          <w:rFonts w:ascii="Verdana" w:hAnsi="Verdana" w:cs="Arial"/>
          <w:sz w:val="18"/>
          <w:szCs w:val="18"/>
        </w:rPr>
      </w:pPr>
    </w:p>
    <w:sectPr w:rsidR="00C34AED" w:rsidSect="00D17239">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F1"/>
    <w:rsid w:val="00000F7E"/>
    <w:rsid w:val="00006165"/>
    <w:rsid w:val="00013D74"/>
    <w:rsid w:val="00013E87"/>
    <w:rsid w:val="00042FD4"/>
    <w:rsid w:val="0007260C"/>
    <w:rsid w:val="00072B1C"/>
    <w:rsid w:val="000733FB"/>
    <w:rsid w:val="00076D72"/>
    <w:rsid w:val="000803A5"/>
    <w:rsid w:val="00097CB7"/>
    <w:rsid w:val="000A44EE"/>
    <w:rsid w:val="000B02A9"/>
    <w:rsid w:val="000B2413"/>
    <w:rsid w:val="000B58EA"/>
    <w:rsid w:val="000D4651"/>
    <w:rsid w:val="000D4C56"/>
    <w:rsid w:val="000F5806"/>
    <w:rsid w:val="00100D33"/>
    <w:rsid w:val="001049F9"/>
    <w:rsid w:val="00105725"/>
    <w:rsid w:val="00105EA0"/>
    <w:rsid w:val="00112408"/>
    <w:rsid w:val="001126C7"/>
    <w:rsid w:val="001179ED"/>
    <w:rsid w:val="001244A0"/>
    <w:rsid w:val="0013359B"/>
    <w:rsid w:val="001754EF"/>
    <w:rsid w:val="001B7FF9"/>
    <w:rsid w:val="001E11A7"/>
    <w:rsid w:val="001F3E57"/>
    <w:rsid w:val="001F5343"/>
    <w:rsid w:val="00204850"/>
    <w:rsid w:val="0020527B"/>
    <w:rsid w:val="0022578A"/>
    <w:rsid w:val="00226D4B"/>
    <w:rsid w:val="002458F5"/>
    <w:rsid w:val="002622FB"/>
    <w:rsid w:val="002769D6"/>
    <w:rsid w:val="00280865"/>
    <w:rsid w:val="00294B41"/>
    <w:rsid w:val="00295196"/>
    <w:rsid w:val="002A1792"/>
    <w:rsid w:val="002B702F"/>
    <w:rsid w:val="002C3441"/>
    <w:rsid w:val="002D4BCD"/>
    <w:rsid w:val="002D6E58"/>
    <w:rsid w:val="002E66FD"/>
    <w:rsid w:val="00302097"/>
    <w:rsid w:val="00314935"/>
    <w:rsid w:val="00331932"/>
    <w:rsid w:val="0033386F"/>
    <w:rsid w:val="00335DFA"/>
    <w:rsid w:val="003671FE"/>
    <w:rsid w:val="00377F7E"/>
    <w:rsid w:val="003A58A0"/>
    <w:rsid w:val="003D3F05"/>
    <w:rsid w:val="00404CFD"/>
    <w:rsid w:val="00404F0D"/>
    <w:rsid w:val="0040666D"/>
    <w:rsid w:val="00415774"/>
    <w:rsid w:val="00415911"/>
    <w:rsid w:val="004208A7"/>
    <w:rsid w:val="00435E26"/>
    <w:rsid w:val="004413D3"/>
    <w:rsid w:val="004501CD"/>
    <w:rsid w:val="00483237"/>
    <w:rsid w:val="004945EE"/>
    <w:rsid w:val="004B1850"/>
    <w:rsid w:val="004C34F1"/>
    <w:rsid w:val="004C52D7"/>
    <w:rsid w:val="004C5DA9"/>
    <w:rsid w:val="004E0E14"/>
    <w:rsid w:val="004E2AA5"/>
    <w:rsid w:val="004E5612"/>
    <w:rsid w:val="004E74F0"/>
    <w:rsid w:val="00531E39"/>
    <w:rsid w:val="00536467"/>
    <w:rsid w:val="00544B44"/>
    <w:rsid w:val="00570C04"/>
    <w:rsid w:val="00585E3C"/>
    <w:rsid w:val="0058618E"/>
    <w:rsid w:val="005913CF"/>
    <w:rsid w:val="005C4E28"/>
    <w:rsid w:val="005F5B32"/>
    <w:rsid w:val="00606DCC"/>
    <w:rsid w:val="00611138"/>
    <w:rsid w:val="00613F92"/>
    <w:rsid w:val="006177C6"/>
    <w:rsid w:val="0062726B"/>
    <w:rsid w:val="0063098B"/>
    <w:rsid w:val="00636A00"/>
    <w:rsid w:val="00670F46"/>
    <w:rsid w:val="00681FC5"/>
    <w:rsid w:val="00686861"/>
    <w:rsid w:val="006B0C4C"/>
    <w:rsid w:val="006E352B"/>
    <w:rsid w:val="006E3DED"/>
    <w:rsid w:val="006F1D5E"/>
    <w:rsid w:val="006F2F05"/>
    <w:rsid w:val="0070195F"/>
    <w:rsid w:val="00727D20"/>
    <w:rsid w:val="007628E7"/>
    <w:rsid w:val="00775005"/>
    <w:rsid w:val="00775667"/>
    <w:rsid w:val="007920E9"/>
    <w:rsid w:val="007B2669"/>
    <w:rsid w:val="007C159D"/>
    <w:rsid w:val="007C228D"/>
    <w:rsid w:val="007F04F8"/>
    <w:rsid w:val="007F0FC4"/>
    <w:rsid w:val="008208E5"/>
    <w:rsid w:val="00846B03"/>
    <w:rsid w:val="00851F67"/>
    <w:rsid w:val="00853611"/>
    <w:rsid w:val="00860FE9"/>
    <w:rsid w:val="00897A15"/>
    <w:rsid w:val="008A1CE9"/>
    <w:rsid w:val="008B5F9E"/>
    <w:rsid w:val="008D1FBC"/>
    <w:rsid w:val="008D4176"/>
    <w:rsid w:val="008E0962"/>
    <w:rsid w:val="009056F0"/>
    <w:rsid w:val="00942C3A"/>
    <w:rsid w:val="00964B4B"/>
    <w:rsid w:val="009845E4"/>
    <w:rsid w:val="00987E3C"/>
    <w:rsid w:val="009B090F"/>
    <w:rsid w:val="009D1406"/>
    <w:rsid w:val="009D28CB"/>
    <w:rsid w:val="009D3DA6"/>
    <w:rsid w:val="009E1F08"/>
    <w:rsid w:val="009E3E33"/>
    <w:rsid w:val="009F08D0"/>
    <w:rsid w:val="00A20077"/>
    <w:rsid w:val="00A629F6"/>
    <w:rsid w:val="00A805E1"/>
    <w:rsid w:val="00AD1248"/>
    <w:rsid w:val="00AD567E"/>
    <w:rsid w:val="00AD7433"/>
    <w:rsid w:val="00AE16E1"/>
    <w:rsid w:val="00AE4B23"/>
    <w:rsid w:val="00AF4A25"/>
    <w:rsid w:val="00B35636"/>
    <w:rsid w:val="00B46FDD"/>
    <w:rsid w:val="00B65463"/>
    <w:rsid w:val="00B8000D"/>
    <w:rsid w:val="00BA0DCD"/>
    <w:rsid w:val="00BA78AE"/>
    <w:rsid w:val="00BB491B"/>
    <w:rsid w:val="00BC481D"/>
    <w:rsid w:val="00BD18CC"/>
    <w:rsid w:val="00BE4957"/>
    <w:rsid w:val="00BE7B90"/>
    <w:rsid w:val="00C20D7E"/>
    <w:rsid w:val="00C34AED"/>
    <w:rsid w:val="00C37C54"/>
    <w:rsid w:val="00C536E0"/>
    <w:rsid w:val="00C65CA1"/>
    <w:rsid w:val="00C7020C"/>
    <w:rsid w:val="00C71DD7"/>
    <w:rsid w:val="00C93F9E"/>
    <w:rsid w:val="00CA51D3"/>
    <w:rsid w:val="00CA5698"/>
    <w:rsid w:val="00CA64E1"/>
    <w:rsid w:val="00CC654F"/>
    <w:rsid w:val="00CC66E3"/>
    <w:rsid w:val="00CF5BB6"/>
    <w:rsid w:val="00D035AD"/>
    <w:rsid w:val="00D13F7B"/>
    <w:rsid w:val="00D16CB6"/>
    <w:rsid w:val="00D17239"/>
    <w:rsid w:val="00D17B72"/>
    <w:rsid w:val="00D4230A"/>
    <w:rsid w:val="00D554D7"/>
    <w:rsid w:val="00D56FDA"/>
    <w:rsid w:val="00D62750"/>
    <w:rsid w:val="00D7307E"/>
    <w:rsid w:val="00D75EF4"/>
    <w:rsid w:val="00D80E0B"/>
    <w:rsid w:val="00D977C0"/>
    <w:rsid w:val="00DA65D8"/>
    <w:rsid w:val="00DC1B22"/>
    <w:rsid w:val="00DC341D"/>
    <w:rsid w:val="00DC50FB"/>
    <w:rsid w:val="00DC5645"/>
    <w:rsid w:val="00DC69B1"/>
    <w:rsid w:val="00DD339A"/>
    <w:rsid w:val="00DE1B77"/>
    <w:rsid w:val="00E10553"/>
    <w:rsid w:val="00E1773D"/>
    <w:rsid w:val="00E201CB"/>
    <w:rsid w:val="00E53BB4"/>
    <w:rsid w:val="00E64D83"/>
    <w:rsid w:val="00E736DC"/>
    <w:rsid w:val="00E74967"/>
    <w:rsid w:val="00E77FFB"/>
    <w:rsid w:val="00EA5D63"/>
    <w:rsid w:val="00EB1C6D"/>
    <w:rsid w:val="00EC78F4"/>
    <w:rsid w:val="00ED4E4B"/>
    <w:rsid w:val="00ED6B48"/>
    <w:rsid w:val="00EE3E71"/>
    <w:rsid w:val="00F03577"/>
    <w:rsid w:val="00F07960"/>
    <w:rsid w:val="00F12E7B"/>
    <w:rsid w:val="00F14193"/>
    <w:rsid w:val="00F21E4D"/>
    <w:rsid w:val="00F31C2E"/>
    <w:rsid w:val="00F33B3B"/>
    <w:rsid w:val="00F741DE"/>
    <w:rsid w:val="00F7466B"/>
    <w:rsid w:val="00F82723"/>
    <w:rsid w:val="00F82C74"/>
    <w:rsid w:val="00F87C24"/>
    <w:rsid w:val="00FA4C0E"/>
    <w:rsid w:val="00FB0709"/>
    <w:rsid w:val="00FB07EC"/>
    <w:rsid w:val="00FC5064"/>
    <w:rsid w:val="00FE7891"/>
    <w:rsid w:val="00FF4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2C71"/>
  <w15:chartTrackingRefBased/>
  <w15:docId w15:val="{11484EA4-3405-476D-B434-F0AEE5B6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08E5"/>
    <w:pPr>
      <w:keepNext/>
      <w:jc w:val="center"/>
      <w:outlineLvl w:val="0"/>
    </w:pPr>
    <w:rPr>
      <w:rFonts w:ascii="Garamond" w:eastAsia="Arial Unicode MS" w:hAnsi="Garamond"/>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5645"/>
    <w:pPr>
      <w:spacing w:before="100" w:beforeAutospacing="1" w:after="100" w:afterAutospacing="1"/>
    </w:pPr>
  </w:style>
  <w:style w:type="paragraph" w:styleId="Textodebalo">
    <w:name w:val="Balloon Text"/>
    <w:basedOn w:val="Normal"/>
    <w:link w:val="TextodebaloChar"/>
    <w:uiPriority w:val="99"/>
    <w:semiHidden/>
    <w:unhideWhenUsed/>
    <w:rsid w:val="00105725"/>
    <w:rPr>
      <w:rFonts w:ascii="Segoe UI" w:hAnsi="Segoe UI" w:cs="Segoe UI"/>
      <w:sz w:val="18"/>
      <w:szCs w:val="18"/>
    </w:rPr>
  </w:style>
  <w:style w:type="character" w:customStyle="1" w:styleId="TextodebaloChar">
    <w:name w:val="Texto de balão Char"/>
    <w:basedOn w:val="Fontepargpadro"/>
    <w:link w:val="Textodebalo"/>
    <w:uiPriority w:val="99"/>
    <w:semiHidden/>
    <w:rsid w:val="00105725"/>
    <w:rPr>
      <w:rFonts w:ascii="Segoe UI" w:eastAsia="Times New Roman" w:hAnsi="Segoe UI" w:cs="Segoe UI"/>
      <w:sz w:val="18"/>
      <w:szCs w:val="18"/>
      <w:lang w:eastAsia="pt-BR"/>
    </w:rPr>
  </w:style>
  <w:style w:type="character" w:customStyle="1" w:styleId="Ttulo1Char">
    <w:name w:val="Título 1 Char"/>
    <w:basedOn w:val="Fontepargpadro"/>
    <w:link w:val="Ttulo1"/>
    <w:rsid w:val="008208E5"/>
    <w:rPr>
      <w:rFonts w:ascii="Garamond" w:eastAsia="Arial Unicode MS" w:hAnsi="Garamond" w:cs="Times New Roman"/>
      <w:b/>
      <w:sz w:val="24"/>
      <w:szCs w:val="20"/>
      <w:lang w:val="x-none" w:eastAsia="pt-BR"/>
    </w:rPr>
  </w:style>
  <w:style w:type="paragraph" w:styleId="PargrafodaLista">
    <w:name w:val="List Paragraph"/>
    <w:basedOn w:val="Normal"/>
    <w:uiPriority w:val="34"/>
    <w:qFormat/>
    <w:rsid w:val="008E0962"/>
    <w:pPr>
      <w:suppressAutoHyphens/>
      <w:spacing w:after="200" w:line="276" w:lineRule="auto"/>
      <w:ind w:left="720"/>
    </w:pPr>
    <w:rPr>
      <w:rFonts w:ascii="Calibri" w:eastAsia="Calibri" w:hAnsi="Calibri" w:cs="Calibri"/>
      <w:sz w:val="22"/>
      <w:szCs w:val="22"/>
      <w:lang w:eastAsia="ar-SA"/>
    </w:rPr>
  </w:style>
  <w:style w:type="paragraph" w:styleId="Recuodecorpodetexto3">
    <w:name w:val="Body Text Indent 3"/>
    <w:basedOn w:val="Normal"/>
    <w:link w:val="Recuodecorpodetexto3Char"/>
    <w:uiPriority w:val="99"/>
    <w:rsid w:val="008E0962"/>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8E0962"/>
    <w:rPr>
      <w:rFonts w:ascii="Times New Roman" w:eastAsia="Times New Roman" w:hAnsi="Times New Roman" w:cs="Times New Roman"/>
      <w:sz w:val="16"/>
      <w:szCs w:val="16"/>
      <w:lang w:val="x-none" w:eastAsia="x-none"/>
    </w:rPr>
  </w:style>
  <w:style w:type="character" w:styleId="Forte">
    <w:name w:val="Strong"/>
    <w:basedOn w:val="Fontepargpadro"/>
    <w:uiPriority w:val="22"/>
    <w:qFormat/>
    <w:rsid w:val="00006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8257">
      <w:bodyDiv w:val="1"/>
      <w:marLeft w:val="0"/>
      <w:marRight w:val="0"/>
      <w:marTop w:val="0"/>
      <w:marBottom w:val="0"/>
      <w:divBdr>
        <w:top w:val="none" w:sz="0" w:space="0" w:color="auto"/>
        <w:left w:val="none" w:sz="0" w:space="0" w:color="auto"/>
        <w:bottom w:val="none" w:sz="0" w:space="0" w:color="auto"/>
        <w:right w:val="none" w:sz="0" w:space="0" w:color="auto"/>
      </w:divBdr>
    </w:div>
    <w:div w:id="488595203">
      <w:bodyDiv w:val="1"/>
      <w:marLeft w:val="0"/>
      <w:marRight w:val="0"/>
      <w:marTop w:val="0"/>
      <w:marBottom w:val="0"/>
      <w:divBdr>
        <w:top w:val="none" w:sz="0" w:space="0" w:color="auto"/>
        <w:left w:val="none" w:sz="0" w:space="0" w:color="auto"/>
        <w:bottom w:val="none" w:sz="0" w:space="0" w:color="auto"/>
        <w:right w:val="none" w:sz="0" w:space="0" w:color="auto"/>
      </w:divBdr>
    </w:div>
    <w:div w:id="2004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5215-9D84-44C9-8930-CCECA182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1113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Neuza Maria Mecatti</dc:creator>
  <cp:keywords/>
  <dc:description/>
  <cp:lastModifiedBy>Juliana Cristina de Aquino</cp:lastModifiedBy>
  <cp:revision>23</cp:revision>
  <cp:lastPrinted>2024-07-04T12:23:00Z</cp:lastPrinted>
  <dcterms:created xsi:type="dcterms:W3CDTF">2024-07-03T14:15:00Z</dcterms:created>
  <dcterms:modified xsi:type="dcterms:W3CDTF">2024-07-05T12:14:00Z</dcterms:modified>
</cp:coreProperties>
</file>