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32E16" w14:textId="77777777" w:rsidR="00197FF7" w:rsidRDefault="00197FF7" w:rsidP="00197FF7">
      <w:pPr>
        <w:widowControl w:val="0"/>
        <w:ind w:right="48"/>
        <w:rPr>
          <w:rFonts w:ascii="Verdana" w:eastAsia="Times New Roman" w:hAnsi="Verdana"/>
          <w:b/>
        </w:rPr>
      </w:pPr>
      <w:bookmarkStart w:id="0" w:name="_GoBack"/>
      <w:r>
        <w:rPr>
          <w:rFonts w:ascii="Verdana" w:hAnsi="Verdana"/>
          <w:b/>
        </w:rPr>
        <w:t>Publicado no DOE nº 10.770, de 4.3.2022.</w:t>
      </w:r>
    </w:p>
    <w:p w14:paraId="3460ACF7" w14:textId="2672A590" w:rsidR="00A409DA" w:rsidRPr="00066769" w:rsidRDefault="00A409DA" w:rsidP="00A409DA">
      <w:pPr>
        <w:rPr>
          <w:rFonts w:ascii="Verdana" w:hAnsi="Verdana"/>
          <w:bCs/>
        </w:rPr>
      </w:pPr>
      <w:r w:rsidRPr="00066769">
        <w:rPr>
          <w:rFonts w:ascii="Verdana" w:eastAsia="Times New Roman" w:hAnsi="Verdana"/>
        </w:rPr>
        <w:t>DECRETO N</w:t>
      </w:r>
      <w:r w:rsidRPr="00066769">
        <w:rPr>
          <w:rFonts w:ascii="Verdana" w:eastAsia="Times New Roman" w:hAnsi="Verdana"/>
          <w:strike/>
        </w:rPr>
        <w:t>º</w:t>
      </w:r>
      <w:r w:rsidRPr="00066769">
        <w:rPr>
          <w:rFonts w:ascii="Verdana" w:eastAsia="Times New Roman" w:hAnsi="Verdana"/>
        </w:rPr>
        <w:t xml:space="preserve"> </w:t>
      </w:r>
      <w:r w:rsidR="00066769">
        <w:rPr>
          <w:rFonts w:ascii="Verdana" w:eastAsia="Times New Roman" w:hAnsi="Verdana"/>
        </w:rPr>
        <w:t>15.878, DE 3 DE MARÇO DE 2022.</w:t>
      </w:r>
    </w:p>
    <w:p w14:paraId="130CFFA6" w14:textId="77777777" w:rsidR="00E978F4" w:rsidRPr="00066769" w:rsidRDefault="00E978F4" w:rsidP="00E978F4">
      <w:pPr>
        <w:ind w:left="2835"/>
        <w:rPr>
          <w:rFonts w:ascii="Verdana" w:hAnsi="Verdana"/>
          <w:i/>
        </w:rPr>
      </w:pPr>
    </w:p>
    <w:p w14:paraId="331F882C" w14:textId="2257881A" w:rsidR="00A409DA" w:rsidRPr="00066769" w:rsidRDefault="00E978F4" w:rsidP="00E978F4">
      <w:pPr>
        <w:ind w:left="2835"/>
        <w:rPr>
          <w:rFonts w:ascii="Verdana" w:hAnsi="Verdana" w:cs="Arial"/>
          <w:i/>
        </w:rPr>
      </w:pPr>
      <w:r w:rsidRPr="00066769">
        <w:rPr>
          <w:rFonts w:ascii="Verdana" w:hAnsi="Verdana"/>
          <w:i/>
        </w:rPr>
        <w:t xml:space="preserve">Acrescenta dispositivos </w:t>
      </w:r>
      <w:r w:rsidRPr="00066769">
        <w:rPr>
          <w:rFonts w:ascii="Verdana" w:hAnsi="Verdana" w:cs="Arial"/>
          <w:i/>
        </w:rPr>
        <w:t>e r</w:t>
      </w:r>
      <w:r w:rsidRPr="00066769">
        <w:rPr>
          <w:rFonts w:ascii="Verdana" w:hAnsi="Verdana"/>
          <w:i/>
        </w:rPr>
        <w:t xml:space="preserve">evoga os arts. 119-A e 119-B do </w:t>
      </w:r>
      <w:r w:rsidRPr="00066769">
        <w:rPr>
          <w:rFonts w:ascii="Verdana" w:eastAsia="Times New Roman" w:hAnsi="Verdana" w:cs="Arial"/>
          <w:i/>
        </w:rPr>
        <w:t xml:space="preserve">Regimento Interno do Tribunal Administrativo Tributário, aprovado pelo </w:t>
      </w:r>
      <w:r w:rsidRPr="00066769">
        <w:rPr>
          <w:rFonts w:ascii="Verdana" w:hAnsi="Verdana" w:cs="Arial"/>
          <w:i/>
        </w:rPr>
        <w:t>Decreto n</w:t>
      </w:r>
      <w:r w:rsidRPr="00066769">
        <w:rPr>
          <w:rFonts w:ascii="Verdana" w:hAnsi="Verdana" w:cs="Arial"/>
          <w:i/>
          <w:strike/>
        </w:rPr>
        <w:t>º</w:t>
      </w:r>
      <w:r w:rsidRPr="00066769">
        <w:rPr>
          <w:rFonts w:ascii="Verdana" w:hAnsi="Verdana" w:cs="Arial"/>
          <w:i/>
        </w:rPr>
        <w:t xml:space="preserve"> 14.320, de 24 de novembro de 2015.</w:t>
      </w:r>
    </w:p>
    <w:p w14:paraId="5C80ABD3" w14:textId="77777777" w:rsidR="00522BDF" w:rsidRPr="00066769" w:rsidRDefault="00522BDF" w:rsidP="000E223E">
      <w:pPr>
        <w:pStyle w:val="Padro"/>
        <w:spacing w:before="0"/>
        <w:ind w:firstLine="1134"/>
        <w:rPr>
          <w:rFonts w:ascii="Verdana" w:hAnsi="Verdana" w:cs="Arial"/>
        </w:rPr>
      </w:pPr>
    </w:p>
    <w:p w14:paraId="69E4ABF6" w14:textId="77777777" w:rsidR="00066769" w:rsidRDefault="00066769" w:rsidP="000E223E">
      <w:pPr>
        <w:pStyle w:val="Padro"/>
        <w:spacing w:before="0"/>
        <w:ind w:firstLine="1134"/>
        <w:rPr>
          <w:rFonts w:ascii="Verdana" w:hAnsi="Verdana" w:cs="Arial"/>
        </w:rPr>
      </w:pPr>
    </w:p>
    <w:p w14:paraId="36E7486E" w14:textId="4EBAA8A5" w:rsidR="00A409DA" w:rsidRPr="00066769" w:rsidRDefault="00A409DA" w:rsidP="000E223E">
      <w:pPr>
        <w:pStyle w:val="Padro"/>
        <w:spacing w:before="0"/>
        <w:ind w:firstLine="1134"/>
        <w:rPr>
          <w:rFonts w:ascii="Verdana" w:hAnsi="Verdana" w:cs="Arial"/>
        </w:rPr>
      </w:pPr>
      <w:r w:rsidRPr="00066769">
        <w:rPr>
          <w:rFonts w:ascii="Verdana" w:hAnsi="Verdana" w:cs="Arial"/>
        </w:rPr>
        <w:t>O GOVERNADOR DO ESTADO DE MATO GROSSO DO SUL, no exercício da competência que lhe confere o art. 89, inciso VII, da Constituição Estadual,</w:t>
      </w:r>
    </w:p>
    <w:p w14:paraId="61D26D2A" w14:textId="77777777" w:rsidR="00A409DA" w:rsidRPr="00066769" w:rsidRDefault="00A409DA" w:rsidP="000E223E">
      <w:pPr>
        <w:pStyle w:val="Padro"/>
        <w:spacing w:before="0"/>
        <w:ind w:firstLine="1134"/>
        <w:rPr>
          <w:rFonts w:ascii="Verdana" w:hAnsi="Verdana" w:cs="Arial"/>
        </w:rPr>
      </w:pPr>
    </w:p>
    <w:p w14:paraId="60B2CFDA" w14:textId="68C5127E" w:rsidR="00F44496" w:rsidRPr="00066769" w:rsidRDefault="00F44496" w:rsidP="000E223E">
      <w:pPr>
        <w:ind w:firstLine="1134"/>
        <w:rPr>
          <w:rFonts w:ascii="Verdana" w:hAnsi="Verdana" w:cs="Arial"/>
        </w:rPr>
      </w:pPr>
      <w:r w:rsidRPr="00066769">
        <w:rPr>
          <w:rFonts w:ascii="Verdana" w:hAnsi="Verdana" w:cs="Arial"/>
        </w:rPr>
        <w:t xml:space="preserve">Considerando </w:t>
      </w:r>
      <w:r w:rsidR="004D205F" w:rsidRPr="00066769">
        <w:rPr>
          <w:rFonts w:ascii="Verdana" w:hAnsi="Verdana" w:cs="Arial"/>
        </w:rPr>
        <w:t xml:space="preserve">o resultado positivo das medidas adotadas </w:t>
      </w:r>
      <w:r w:rsidR="00B92224" w:rsidRPr="00066769">
        <w:rPr>
          <w:rFonts w:ascii="Verdana" w:hAnsi="Verdana" w:cs="Arial"/>
        </w:rPr>
        <w:t xml:space="preserve">na prevenção da </w:t>
      </w:r>
      <w:r w:rsidR="004D205F" w:rsidRPr="00066769">
        <w:rPr>
          <w:rFonts w:ascii="Verdana" w:hAnsi="Verdana" w:cs="Arial"/>
        </w:rPr>
        <w:t>C</w:t>
      </w:r>
      <w:r w:rsidR="00522BDF" w:rsidRPr="00066769">
        <w:rPr>
          <w:rFonts w:ascii="Verdana" w:hAnsi="Verdana" w:cs="Arial"/>
        </w:rPr>
        <w:t>ovid</w:t>
      </w:r>
      <w:r w:rsidR="004D205F" w:rsidRPr="00066769">
        <w:rPr>
          <w:rFonts w:ascii="Verdana" w:hAnsi="Verdana" w:cs="Arial"/>
        </w:rPr>
        <w:t>-19</w:t>
      </w:r>
      <w:r w:rsidR="00B92224" w:rsidRPr="00066769">
        <w:rPr>
          <w:rFonts w:ascii="Verdana" w:hAnsi="Verdana" w:cs="Arial"/>
        </w:rPr>
        <w:t xml:space="preserve">, o disposto na </w:t>
      </w:r>
      <w:r w:rsidR="00B92224" w:rsidRPr="00066769">
        <w:rPr>
          <w:rFonts w:ascii="Verdana" w:hAnsi="Verdana" w:cs="Arial"/>
          <w:bCs/>
          <w:color w:val="000000"/>
          <w:shd w:val="clear" w:color="auto" w:fill="FFFFFF"/>
        </w:rPr>
        <w:t xml:space="preserve">Resolução/SEFAZ </w:t>
      </w:r>
      <w:r w:rsidR="00F4699B" w:rsidRPr="00066769">
        <w:rPr>
          <w:rFonts w:ascii="Verdana" w:hAnsi="Verdana" w:cs="Arial"/>
          <w:bCs/>
          <w:color w:val="000000"/>
          <w:shd w:val="clear" w:color="auto" w:fill="FFFFFF"/>
        </w:rPr>
        <w:t>n</w:t>
      </w:r>
      <w:r w:rsidR="00F4699B" w:rsidRPr="00066769">
        <w:rPr>
          <w:rFonts w:ascii="Verdana" w:hAnsi="Verdana" w:cs="Arial"/>
          <w:bCs/>
          <w:strike/>
          <w:color w:val="000000"/>
          <w:shd w:val="clear" w:color="auto" w:fill="FFFFFF"/>
        </w:rPr>
        <w:t>°</w:t>
      </w:r>
      <w:r w:rsidR="00F4699B" w:rsidRPr="00066769">
        <w:rPr>
          <w:rFonts w:ascii="Verdana" w:hAnsi="Verdana" w:cs="Arial"/>
          <w:bCs/>
          <w:color w:val="000000"/>
          <w:shd w:val="clear" w:color="auto" w:fill="FFFFFF"/>
        </w:rPr>
        <w:t xml:space="preserve"> </w:t>
      </w:r>
      <w:r w:rsidR="00B92224" w:rsidRPr="00066769">
        <w:rPr>
          <w:rFonts w:ascii="Verdana" w:hAnsi="Verdana" w:cs="Arial"/>
          <w:bCs/>
          <w:color w:val="000000"/>
          <w:shd w:val="clear" w:color="auto" w:fill="FFFFFF"/>
        </w:rPr>
        <w:t>3.175, de 29 de julho de 2021, que di</w:t>
      </w:r>
      <w:r w:rsidR="00B92224" w:rsidRPr="00066769">
        <w:rPr>
          <w:rFonts w:ascii="Verdana" w:hAnsi="Verdana" w:cs="Arial"/>
          <w:iCs/>
        </w:rPr>
        <w:t xml:space="preserve">spõe sobre o retorno ao trabalho presencial dos servidores da Secretaria de Estado de Fazenda do Estado de Mato Grosso do Sul (SEFAZ), e a circunstância de que </w:t>
      </w:r>
      <w:r w:rsidR="00CD26F1" w:rsidRPr="00066769">
        <w:rPr>
          <w:rFonts w:ascii="Verdana" w:hAnsi="Verdana" w:cs="Arial"/>
          <w:iCs/>
        </w:rPr>
        <w:t xml:space="preserve">os membros do </w:t>
      </w:r>
      <w:r w:rsidR="00B92224" w:rsidRPr="00066769">
        <w:rPr>
          <w:rFonts w:ascii="Verdana" w:hAnsi="Verdana" w:cs="Arial"/>
          <w:iCs/>
        </w:rPr>
        <w:t>Tribunal Administrativo Tributário</w:t>
      </w:r>
      <w:r w:rsidR="00CD26F1" w:rsidRPr="00066769">
        <w:rPr>
          <w:rFonts w:ascii="Verdana" w:hAnsi="Verdana" w:cs="Arial"/>
          <w:iCs/>
        </w:rPr>
        <w:t xml:space="preserve">, incluídos os Procuradores do Estado designados para nele atuarem, bem como os demais servidores nele lotados, </w:t>
      </w:r>
      <w:r w:rsidR="00B92224" w:rsidRPr="00066769">
        <w:rPr>
          <w:rFonts w:ascii="Verdana" w:hAnsi="Verdana" w:cs="Arial"/>
          <w:iCs/>
        </w:rPr>
        <w:t xml:space="preserve">já se encontram </w:t>
      </w:r>
      <w:r w:rsidR="00B92224" w:rsidRPr="00066769">
        <w:rPr>
          <w:rFonts w:ascii="Verdana" w:hAnsi="Verdana" w:cs="Arial"/>
        </w:rPr>
        <w:t>imunizad</w:t>
      </w:r>
      <w:r w:rsidR="00760BCC" w:rsidRPr="00066769">
        <w:rPr>
          <w:rFonts w:ascii="Verdana" w:hAnsi="Verdana" w:cs="Arial"/>
        </w:rPr>
        <w:t>o</w:t>
      </w:r>
      <w:r w:rsidR="00B92224" w:rsidRPr="00066769">
        <w:rPr>
          <w:rFonts w:ascii="Verdana" w:hAnsi="Verdana" w:cs="Arial"/>
        </w:rPr>
        <w:t>s com a segunda dose ou com a dose única da vacina contra a C</w:t>
      </w:r>
      <w:r w:rsidR="00522BDF" w:rsidRPr="00066769">
        <w:rPr>
          <w:rFonts w:ascii="Verdana" w:hAnsi="Verdana" w:cs="Arial"/>
        </w:rPr>
        <w:t>ovid-</w:t>
      </w:r>
      <w:r w:rsidR="00B92224" w:rsidRPr="00066769">
        <w:rPr>
          <w:rFonts w:ascii="Verdana" w:hAnsi="Verdana" w:cs="Arial"/>
        </w:rPr>
        <w:t>19</w:t>
      </w:r>
      <w:r w:rsidR="00F8534F" w:rsidRPr="00066769">
        <w:rPr>
          <w:rFonts w:ascii="Verdana" w:hAnsi="Verdana" w:cs="Arial"/>
        </w:rPr>
        <w:t>;</w:t>
      </w:r>
    </w:p>
    <w:p w14:paraId="46DCD81B" w14:textId="77777777" w:rsidR="00F8534F" w:rsidRPr="00066769" w:rsidRDefault="00F8534F" w:rsidP="000E223E">
      <w:pPr>
        <w:ind w:firstLine="1134"/>
        <w:rPr>
          <w:rFonts w:ascii="Verdana" w:hAnsi="Verdana" w:cs="Arial"/>
        </w:rPr>
      </w:pPr>
    </w:p>
    <w:p w14:paraId="215B4B98" w14:textId="7DBE5B77" w:rsidR="00F8534F" w:rsidRPr="00066769" w:rsidRDefault="00F8534F" w:rsidP="000E223E">
      <w:pPr>
        <w:ind w:firstLine="1134"/>
        <w:rPr>
          <w:rFonts w:ascii="Verdana" w:hAnsi="Verdana" w:cs="Arial"/>
        </w:rPr>
      </w:pPr>
      <w:r w:rsidRPr="00066769">
        <w:rPr>
          <w:rFonts w:ascii="Verdana" w:hAnsi="Verdana" w:cs="Arial"/>
        </w:rPr>
        <w:t xml:space="preserve">Considerando a conveniência da Administração Tributária em manter a possibilidade de o Tribunal Administrativo Tributário, em situações justificadas, realizar sessões não presenciais, por videoconferência ou </w:t>
      </w:r>
      <w:r w:rsidR="006A5B0C" w:rsidRPr="00066769">
        <w:rPr>
          <w:rFonts w:ascii="Verdana" w:hAnsi="Verdana" w:cs="Arial"/>
        </w:rPr>
        <w:t xml:space="preserve">por </w:t>
      </w:r>
      <w:r w:rsidRPr="00066769">
        <w:rPr>
          <w:rFonts w:ascii="Verdana" w:hAnsi="Verdana" w:cs="Arial"/>
        </w:rPr>
        <w:t>outro meio eletrônico disponível;</w:t>
      </w:r>
    </w:p>
    <w:p w14:paraId="466FBA25" w14:textId="77777777" w:rsidR="00F8534F" w:rsidRPr="00066769" w:rsidRDefault="00F8534F" w:rsidP="000E223E">
      <w:pPr>
        <w:ind w:firstLine="1134"/>
        <w:rPr>
          <w:rFonts w:ascii="Verdana" w:hAnsi="Verdana" w:cs="Arial"/>
        </w:rPr>
      </w:pPr>
    </w:p>
    <w:p w14:paraId="4744F28F" w14:textId="583C0924" w:rsidR="00F8534F" w:rsidRPr="00066769" w:rsidRDefault="00F8534F" w:rsidP="000E223E">
      <w:pPr>
        <w:ind w:firstLine="1134"/>
        <w:rPr>
          <w:rFonts w:ascii="Verdana" w:hAnsi="Verdana" w:cs="Arial"/>
        </w:rPr>
      </w:pPr>
      <w:r w:rsidRPr="00066769">
        <w:rPr>
          <w:rFonts w:ascii="Verdana" w:hAnsi="Verdana" w:cs="Arial"/>
        </w:rPr>
        <w:t>Considerando</w:t>
      </w:r>
      <w:r w:rsidR="003D59BA" w:rsidRPr="00066769">
        <w:rPr>
          <w:rFonts w:ascii="Verdana" w:hAnsi="Verdana" w:cs="Arial"/>
        </w:rPr>
        <w:t xml:space="preserve"> </w:t>
      </w:r>
      <w:r w:rsidR="003669C2" w:rsidRPr="00066769">
        <w:rPr>
          <w:rFonts w:ascii="Verdana" w:hAnsi="Verdana" w:cs="Arial"/>
        </w:rPr>
        <w:t>ser plausível a permissão para que, nas sessões presenciais, as partes ou seus representantes, nos processos administrativos tributários, participem do julgamento por videoconferência ou</w:t>
      </w:r>
      <w:r w:rsidR="00522BDF" w:rsidRPr="00066769">
        <w:rPr>
          <w:rFonts w:ascii="Verdana" w:hAnsi="Verdana" w:cs="Arial"/>
        </w:rPr>
        <w:t xml:space="preserve"> por</w:t>
      </w:r>
      <w:r w:rsidR="003669C2" w:rsidRPr="00066769">
        <w:rPr>
          <w:rFonts w:ascii="Verdana" w:hAnsi="Verdana" w:cs="Arial"/>
        </w:rPr>
        <w:t xml:space="preserve"> outro meio eletrônico disponível,</w:t>
      </w:r>
      <w:r w:rsidR="00A831C4" w:rsidRPr="00066769">
        <w:rPr>
          <w:rFonts w:ascii="Verdana" w:hAnsi="Verdana" w:cs="Arial"/>
        </w:rPr>
        <w:t xml:space="preserve"> </w:t>
      </w:r>
    </w:p>
    <w:p w14:paraId="78EECD4A" w14:textId="77777777" w:rsidR="00B92224" w:rsidRPr="00066769" w:rsidRDefault="00B92224" w:rsidP="000E223E">
      <w:pPr>
        <w:ind w:firstLine="1134"/>
        <w:rPr>
          <w:rFonts w:ascii="Verdana" w:hAnsi="Verdana"/>
        </w:rPr>
      </w:pPr>
    </w:p>
    <w:p w14:paraId="7C46933B" w14:textId="77777777" w:rsidR="00A409DA" w:rsidRPr="00066769" w:rsidRDefault="00A409DA" w:rsidP="000E223E">
      <w:pPr>
        <w:ind w:firstLine="1134"/>
        <w:rPr>
          <w:rFonts w:ascii="Verdana" w:hAnsi="Verdana" w:cs="Arial"/>
        </w:rPr>
      </w:pPr>
      <w:r w:rsidRPr="00066769">
        <w:rPr>
          <w:rFonts w:ascii="Verdana" w:hAnsi="Verdana" w:cs="Arial"/>
        </w:rPr>
        <w:t>D E C R E T A:</w:t>
      </w:r>
    </w:p>
    <w:p w14:paraId="3A8B284F" w14:textId="7C72286D" w:rsidR="00A409DA" w:rsidRPr="00066769" w:rsidRDefault="00A409DA" w:rsidP="000E223E">
      <w:pPr>
        <w:ind w:firstLine="1134"/>
        <w:rPr>
          <w:rFonts w:ascii="Verdana" w:hAnsi="Verdana" w:cs="Arial"/>
        </w:rPr>
      </w:pPr>
    </w:p>
    <w:p w14:paraId="66CB6D3B" w14:textId="77777777" w:rsidR="00E978F4" w:rsidRPr="00066769" w:rsidRDefault="00E978F4" w:rsidP="00E978F4">
      <w:pPr>
        <w:pStyle w:val="Padro"/>
        <w:spacing w:before="0"/>
        <w:ind w:firstLine="1134"/>
        <w:rPr>
          <w:rFonts w:ascii="Verdana" w:hAnsi="Verdana" w:cs="Arial"/>
        </w:rPr>
      </w:pPr>
      <w:r w:rsidRPr="00066769">
        <w:rPr>
          <w:rFonts w:ascii="Verdana" w:hAnsi="Verdana" w:cs="Arial"/>
        </w:rPr>
        <w:t>Art. 1º O Regimento Interno do Tribunal Administrativo Tributário do Estado de Mato Grosso do Sul, aprovado pelo Decreto n</w:t>
      </w:r>
      <w:r w:rsidRPr="00066769">
        <w:rPr>
          <w:rFonts w:ascii="Verdana" w:hAnsi="Verdana" w:cs="Arial"/>
          <w:strike/>
        </w:rPr>
        <w:t>º</w:t>
      </w:r>
      <w:r w:rsidRPr="00066769">
        <w:rPr>
          <w:rFonts w:ascii="Verdana" w:hAnsi="Verdana" w:cs="Arial"/>
        </w:rPr>
        <w:t xml:space="preserve"> 14.320, de 24 de novembro de 2015, passa a vigorar com os seguintes acréscimos:</w:t>
      </w:r>
    </w:p>
    <w:p w14:paraId="252A4B40" w14:textId="77777777" w:rsidR="00E978F4" w:rsidRPr="00066769" w:rsidRDefault="00E978F4" w:rsidP="00E978F4">
      <w:pPr>
        <w:pStyle w:val="Padro"/>
        <w:spacing w:before="0"/>
        <w:ind w:firstLine="1134"/>
        <w:rPr>
          <w:rFonts w:ascii="Verdana" w:hAnsi="Verdana" w:cs="Arial"/>
        </w:rPr>
      </w:pPr>
    </w:p>
    <w:p w14:paraId="62958F6B" w14:textId="1EA0F5CA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  <w:r w:rsidRPr="00066769">
        <w:rPr>
          <w:rFonts w:ascii="Verdana" w:hAnsi="Verdana"/>
          <w:i/>
        </w:rPr>
        <w:t xml:space="preserve">“Art. 119-C. Em situações que justifiquem, especificadas em ato do Presidente do Tribunal, as sessões de julgamento de processos administrativos tributários podem ser realizadas de forma não presencial, por videoconferência ou </w:t>
      </w:r>
      <w:r w:rsidR="00CA4E86" w:rsidRPr="00066769">
        <w:rPr>
          <w:rFonts w:ascii="Verdana" w:hAnsi="Verdana"/>
          <w:i/>
        </w:rPr>
        <w:t xml:space="preserve">por </w:t>
      </w:r>
      <w:r w:rsidRPr="00066769">
        <w:rPr>
          <w:rFonts w:ascii="Verdana" w:hAnsi="Verdana"/>
          <w:i/>
        </w:rPr>
        <w:t>outro meio eletrônico disponível, observado o mesmo rito das sessões presenciais.</w:t>
      </w:r>
    </w:p>
    <w:p w14:paraId="1EABEC6A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</w:p>
    <w:p w14:paraId="4499719A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  <w:r w:rsidRPr="00066769">
        <w:rPr>
          <w:rFonts w:ascii="Verdana" w:hAnsi="Verdana"/>
          <w:i/>
        </w:rPr>
        <w:t>§ 1º Na hipótese do caput deste artigo:</w:t>
      </w:r>
    </w:p>
    <w:p w14:paraId="4DA80BA5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</w:p>
    <w:p w14:paraId="42D38598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  <w:r w:rsidRPr="00066769">
        <w:rPr>
          <w:rFonts w:ascii="Verdana" w:hAnsi="Verdana"/>
          <w:i/>
        </w:rPr>
        <w:t>I - as pautas de julgamento devem ser publicadas na forma prevista no art. 34 deste Regimento Interno, indicando o meio eletrônico pelo qual se realizará a sessão;</w:t>
      </w:r>
    </w:p>
    <w:p w14:paraId="47B8EB17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</w:p>
    <w:p w14:paraId="1C1FA727" w14:textId="7E6B1439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  <w:r w:rsidRPr="00066769">
        <w:rPr>
          <w:rFonts w:ascii="Verdana" w:hAnsi="Verdana"/>
          <w:i/>
        </w:rPr>
        <w:t>II - as partes ou seus representantes legais que pretenderem participar da sessão devem:</w:t>
      </w:r>
    </w:p>
    <w:p w14:paraId="055C35D3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</w:p>
    <w:p w14:paraId="3D898B09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  <w:r w:rsidRPr="00066769">
        <w:rPr>
          <w:rFonts w:ascii="Verdana" w:hAnsi="Verdana"/>
          <w:i/>
        </w:rPr>
        <w:t xml:space="preserve">a) manifestar o seu interesse nessa participação, por meio do correio eletrônico tat@fazenda.ms.gov.br, com antecedência mínima de um dia útil da data da sessão; </w:t>
      </w:r>
    </w:p>
    <w:p w14:paraId="60A7B8A0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</w:p>
    <w:p w14:paraId="1D62C298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  <w:r w:rsidRPr="00066769">
        <w:rPr>
          <w:rFonts w:ascii="Verdana" w:hAnsi="Verdana"/>
          <w:i/>
        </w:rPr>
        <w:lastRenderedPageBreak/>
        <w:t>b) informar ou encaminhar, para o mesmo correio eletrônico e no mesmo prazo, referidos na alínea “a” deste inciso, os seguintes dados ou documentos:</w:t>
      </w:r>
    </w:p>
    <w:p w14:paraId="70D00D58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</w:p>
    <w:p w14:paraId="789CD7C9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  <w:r w:rsidRPr="00066769">
        <w:rPr>
          <w:rFonts w:ascii="Verdana" w:hAnsi="Verdana"/>
          <w:i/>
        </w:rPr>
        <w:t>1. número do Auto de Lançamento e de Imposição e Multa a que se refere o respectivo processo administrativo tributário e o nome da pessoa que irá participar, informando se realizará ou não sustentação oral;</w:t>
      </w:r>
    </w:p>
    <w:p w14:paraId="340F2CBC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</w:p>
    <w:p w14:paraId="453405BC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  <w:r w:rsidRPr="00066769">
        <w:rPr>
          <w:rFonts w:ascii="Verdana" w:hAnsi="Verdana"/>
          <w:i/>
        </w:rPr>
        <w:t>2. documento de identificação com foto da pessoa que realizará a sustentação oral, digitalizado;</w:t>
      </w:r>
    </w:p>
    <w:p w14:paraId="77CCC42D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</w:p>
    <w:p w14:paraId="058EEC1C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  <w:r w:rsidRPr="00066769">
        <w:rPr>
          <w:rFonts w:ascii="Verdana" w:hAnsi="Verdana"/>
          <w:i/>
        </w:rPr>
        <w:t xml:space="preserve">3. instrumento de procuração e, se for o caso, de substabelecimento, digitalizados, do procurador do sujeito passivo, caso ainda não se encontrem juntados aos autos; </w:t>
      </w:r>
    </w:p>
    <w:p w14:paraId="5704A817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</w:p>
    <w:p w14:paraId="68B163DA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  <w:r w:rsidRPr="00066769">
        <w:rPr>
          <w:rFonts w:ascii="Verdana" w:hAnsi="Verdana"/>
          <w:i/>
        </w:rPr>
        <w:t xml:space="preserve">4. correio eletrônico no qual deseja receber o endereço eletrônico de acesso específico para participar da sessão de julgamento; </w:t>
      </w:r>
    </w:p>
    <w:p w14:paraId="785098CE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</w:p>
    <w:p w14:paraId="47030548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  <w:r w:rsidRPr="00066769">
        <w:rPr>
          <w:rFonts w:ascii="Verdana" w:hAnsi="Verdana"/>
          <w:i/>
        </w:rPr>
        <w:t>5. telefone de contato;</w:t>
      </w:r>
    </w:p>
    <w:p w14:paraId="59EE6B1A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</w:p>
    <w:p w14:paraId="2A8FBD62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  <w:r w:rsidRPr="00066769">
        <w:rPr>
          <w:rFonts w:ascii="Verdana" w:hAnsi="Verdana"/>
          <w:i/>
        </w:rPr>
        <w:t>c) cadastrar-se na ferramenta a ser utilizada para a realização de sustentação oral nas sessões de julgamento;</w:t>
      </w:r>
    </w:p>
    <w:p w14:paraId="67611285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</w:p>
    <w:p w14:paraId="121061D2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  <w:r w:rsidRPr="00066769">
        <w:rPr>
          <w:rFonts w:ascii="Verdana" w:hAnsi="Verdana"/>
          <w:i/>
        </w:rPr>
        <w:t>III - cabem às partes ou aos seus representantes providenciarem a infraestrutura necessária para viabilizar a sua participação nas sessões de julgamento por meio eletrônico, bem como para a realização de sustentação oral;</w:t>
      </w:r>
    </w:p>
    <w:p w14:paraId="19855F2D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</w:p>
    <w:p w14:paraId="2CA1096E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  <w:r w:rsidRPr="00066769">
        <w:rPr>
          <w:rFonts w:ascii="Verdana" w:hAnsi="Verdana"/>
          <w:i/>
        </w:rPr>
        <w:t>IV - as partes ou os seus representantes podem participar das sessões de julgamento realizadas por meio eletrônico para:</w:t>
      </w:r>
    </w:p>
    <w:p w14:paraId="38F390C3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</w:p>
    <w:p w14:paraId="73054D79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  <w:r w:rsidRPr="00066769">
        <w:rPr>
          <w:rFonts w:ascii="Verdana" w:hAnsi="Verdana"/>
          <w:i/>
        </w:rPr>
        <w:t>a) assistir ao julgamento do respectivo processo;</w:t>
      </w:r>
    </w:p>
    <w:p w14:paraId="2D7A037C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</w:p>
    <w:p w14:paraId="3CE46E82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  <w:r w:rsidRPr="00066769">
        <w:rPr>
          <w:rFonts w:ascii="Verdana" w:hAnsi="Verdana"/>
          <w:i/>
        </w:rPr>
        <w:t xml:space="preserve">b) realizar sustentação oral, nos termos do art. 51 deste Regimento Interno; </w:t>
      </w:r>
    </w:p>
    <w:p w14:paraId="22704F7D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</w:p>
    <w:p w14:paraId="49A63538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  <w:r w:rsidRPr="00066769">
        <w:rPr>
          <w:rFonts w:ascii="Verdana" w:hAnsi="Verdana"/>
          <w:i/>
        </w:rPr>
        <w:t>c) esclarecer fatos, quando solicitado nos termos do inciso I do § 2º do art. 53 deste Regimento Interno.</w:t>
      </w:r>
    </w:p>
    <w:p w14:paraId="085471C6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</w:p>
    <w:p w14:paraId="2A9D76E6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  <w:r w:rsidRPr="00066769">
        <w:rPr>
          <w:rFonts w:ascii="Verdana" w:hAnsi="Verdana"/>
          <w:i/>
        </w:rPr>
        <w:t>§ 2º No caso de atendimento ao disposto na alínea “b” do inciso II do § 1º deste artigo, no prazo nele estabelecido, o Tribunal Administrativo Tributário deve enviar ao interessado, no correio eletrônico indicado para tal finalidade, o endereço eletrônico de acesso específico, com a indicação do acesso à sessão a ser realizada por meio eletrônico.</w:t>
      </w:r>
    </w:p>
    <w:p w14:paraId="75E71158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</w:p>
    <w:p w14:paraId="3C915B39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  <w:r w:rsidRPr="00066769">
        <w:rPr>
          <w:rFonts w:ascii="Verdana" w:hAnsi="Verdana"/>
          <w:i/>
        </w:rPr>
        <w:t>§ 3º Na hipótese de não recebimento do endereço eletrônico a que se refere o § 2º deste artigo, o interessado deve comunicar tal circunstância ao Tribunal Administrativo Tributário, por meio do correio eletrônico indicado na alínea “a” do inciso II do § 1º deste artigo, até antes do início da sessão de julgamento.</w:t>
      </w:r>
    </w:p>
    <w:p w14:paraId="2F657618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</w:p>
    <w:p w14:paraId="62704F22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  <w:r w:rsidRPr="00066769">
        <w:rPr>
          <w:rFonts w:ascii="Verdana" w:hAnsi="Verdana"/>
          <w:i/>
        </w:rPr>
        <w:t xml:space="preserve">§ 4º Não havendo a comunicação a que se refere o § 3º deste artigo, na hipótese nele mencionada, e não estando conectado à ferramenta de acesso à sessão de julgamento </w:t>
      </w:r>
      <w:r w:rsidRPr="00066769">
        <w:rPr>
          <w:rFonts w:ascii="Verdana" w:hAnsi="Verdana"/>
          <w:i/>
        </w:rPr>
        <w:lastRenderedPageBreak/>
        <w:t>quando de seu início, considera-se que o interessado desistiu tacitamente do direito à participação da sessão e da realização da sustentação oral.</w:t>
      </w:r>
    </w:p>
    <w:p w14:paraId="0998B215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</w:p>
    <w:p w14:paraId="41F4843B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  <w:r w:rsidRPr="00066769">
        <w:rPr>
          <w:rFonts w:ascii="Verdana" w:hAnsi="Verdana"/>
          <w:i/>
        </w:rPr>
        <w:t xml:space="preserve">§ 5º É facultada a apresentação de memoriais ao julgamento, mediante o seu envio ao correio eletrônico indicado na alínea “a” do inciso II do § 1º deste artigo, até antes do início da sessão de julgamento. </w:t>
      </w:r>
    </w:p>
    <w:p w14:paraId="5C81928A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</w:p>
    <w:p w14:paraId="71DFA06E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  <w:r w:rsidRPr="00066769">
        <w:rPr>
          <w:rFonts w:ascii="Verdana" w:hAnsi="Verdana"/>
          <w:i/>
        </w:rPr>
        <w:t>§ 6º Observada a exceção prevista no art. 32 deste Regimento Interno, qualquer pessoa, manifestando interesse, pode assistir à realização das sessões de julgamento, mediante solicitação prévia ao Tribunal Administrativo Tributário, com antecedência mínima de um dia útil da data da sua realização, hipótese em que o Tribunal Administrativo Tributário deve disponibilizar um local, com os recursos necessários, para que os interessados possam assistir a sessão de julgamento.” (NR)</w:t>
      </w:r>
    </w:p>
    <w:p w14:paraId="2B1A962C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</w:p>
    <w:p w14:paraId="35FFD35A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  <w:r w:rsidRPr="00066769">
        <w:rPr>
          <w:rFonts w:ascii="Verdana" w:hAnsi="Verdana"/>
          <w:i/>
        </w:rPr>
        <w:t>“Art. 119-D. O disposto no caput do art. 119-C aplica-se, também, às sessões administrativas, especiais e extraordinárias</w:t>
      </w:r>
      <w:r w:rsidRPr="00066769">
        <w:rPr>
          <w:rFonts w:ascii="Verdana" w:hAnsi="Verdana"/>
          <w:b/>
          <w:i/>
        </w:rPr>
        <w:t xml:space="preserve"> </w:t>
      </w:r>
      <w:r w:rsidRPr="00066769">
        <w:rPr>
          <w:rFonts w:ascii="Verdana" w:hAnsi="Verdana"/>
          <w:i/>
        </w:rPr>
        <w:t>do Tribunal Administrativo Tributário, podendo ser aplicado, ordinariamente, às sessões destinadas à aprovação de textos de ementas.” (NR)</w:t>
      </w:r>
    </w:p>
    <w:p w14:paraId="325BF478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</w:p>
    <w:p w14:paraId="0CBE7218" w14:textId="2B6D9373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  <w:r w:rsidRPr="00066769">
        <w:rPr>
          <w:rFonts w:ascii="Verdana" w:hAnsi="Verdana"/>
          <w:i/>
        </w:rPr>
        <w:t xml:space="preserve">“Art. 119-E. Nas sessões de julgamento de processos administrativos tributários realizadas de forma presencial, a participação das partes ou de seus representantes pode ser por videoconferência ou </w:t>
      </w:r>
      <w:r w:rsidR="00637F5F" w:rsidRPr="00066769">
        <w:rPr>
          <w:rFonts w:ascii="Verdana" w:hAnsi="Verdana"/>
          <w:i/>
        </w:rPr>
        <w:t xml:space="preserve">por </w:t>
      </w:r>
      <w:r w:rsidRPr="00066769">
        <w:rPr>
          <w:rFonts w:ascii="Verdana" w:hAnsi="Verdana"/>
          <w:i/>
        </w:rPr>
        <w:t>outro meio eletrônico disponível, para</w:t>
      </w:r>
      <w:r w:rsidRPr="00066769">
        <w:rPr>
          <w:rFonts w:ascii="Verdana" w:hAnsi="Verdana"/>
          <w:b/>
          <w:i/>
        </w:rPr>
        <w:t xml:space="preserve"> </w:t>
      </w:r>
      <w:r w:rsidRPr="00066769">
        <w:rPr>
          <w:rFonts w:ascii="Verdana" w:hAnsi="Verdana"/>
          <w:i/>
        </w:rPr>
        <w:t>assistir ao julgamento do respectivo processo, realizar sustentação oral, nos termos do art. 51 deste Regimento Interno, ou esclarecer fatos, quando solicitado nos termos do inciso I do § 2º do art. 53 deste Regimento Interno.</w:t>
      </w:r>
    </w:p>
    <w:p w14:paraId="012BB5AD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</w:p>
    <w:p w14:paraId="04E54EBF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  <w:r w:rsidRPr="00066769">
        <w:rPr>
          <w:rFonts w:ascii="Verdana" w:hAnsi="Verdana"/>
          <w:i/>
        </w:rPr>
        <w:t>§ 1º Para efeito deste artigo:</w:t>
      </w:r>
    </w:p>
    <w:p w14:paraId="6C0A9EE5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</w:p>
    <w:p w14:paraId="6E7EB4A7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  <w:r w:rsidRPr="00066769">
        <w:rPr>
          <w:rFonts w:ascii="Verdana" w:hAnsi="Verdana"/>
          <w:i/>
        </w:rPr>
        <w:t>I - as pautas de julgamento devem conter informação sobre a possibilidade dessa participação por meio eletrônico, indicando o respectivo endereço;</w:t>
      </w:r>
    </w:p>
    <w:p w14:paraId="0DE55632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</w:p>
    <w:p w14:paraId="32286274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  <w:r w:rsidRPr="00066769">
        <w:rPr>
          <w:rFonts w:ascii="Verdana" w:hAnsi="Verdana"/>
          <w:i/>
        </w:rPr>
        <w:t>II – as partes ou seus representantes legais que pretenderem participar da sessão por meio eletrônico devem atender ao disposto nos incisos II e III do § 1º do art.119-C deste Regulamento.</w:t>
      </w:r>
    </w:p>
    <w:p w14:paraId="5255CF03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</w:p>
    <w:p w14:paraId="40F37BE2" w14:textId="77777777" w:rsidR="00E978F4" w:rsidRPr="00066769" w:rsidRDefault="00E978F4" w:rsidP="00E978F4">
      <w:pPr>
        <w:pStyle w:val="Padro"/>
        <w:spacing w:before="0"/>
        <w:ind w:left="1134" w:firstLine="0"/>
        <w:rPr>
          <w:rFonts w:ascii="Verdana" w:hAnsi="Verdana"/>
          <w:i/>
        </w:rPr>
      </w:pPr>
      <w:r w:rsidRPr="00066769">
        <w:rPr>
          <w:rFonts w:ascii="Verdana" w:hAnsi="Verdana"/>
          <w:i/>
        </w:rPr>
        <w:t>§ 2º Aplicam-se, na hipótese deste artigo, as disposições dos §§ 2º, 3º, 4º e 5º do art. 119-C deste Regulamento.” (NR)</w:t>
      </w:r>
    </w:p>
    <w:p w14:paraId="3B813498" w14:textId="77777777" w:rsidR="00E978F4" w:rsidRPr="00066769" w:rsidRDefault="00E978F4" w:rsidP="000E223E">
      <w:pPr>
        <w:ind w:firstLine="1134"/>
        <w:rPr>
          <w:rFonts w:ascii="Verdana" w:hAnsi="Verdana" w:cs="Arial"/>
        </w:rPr>
      </w:pPr>
    </w:p>
    <w:p w14:paraId="07962B81" w14:textId="4AB0AE3B" w:rsidR="00A409DA" w:rsidRPr="00066769" w:rsidRDefault="00A409DA" w:rsidP="000E223E">
      <w:pPr>
        <w:ind w:firstLine="1134"/>
        <w:rPr>
          <w:rFonts w:ascii="Verdana" w:hAnsi="Verdana" w:cs="Arial"/>
        </w:rPr>
      </w:pPr>
      <w:r w:rsidRPr="00066769">
        <w:rPr>
          <w:rFonts w:ascii="Verdana" w:hAnsi="Verdana" w:cs="Arial"/>
        </w:rPr>
        <w:t xml:space="preserve">Art. </w:t>
      </w:r>
      <w:r w:rsidR="00E978F4" w:rsidRPr="00066769">
        <w:rPr>
          <w:rFonts w:ascii="Verdana" w:hAnsi="Verdana" w:cs="Arial"/>
        </w:rPr>
        <w:t>2</w:t>
      </w:r>
      <w:r w:rsidRPr="00066769">
        <w:rPr>
          <w:rFonts w:ascii="Verdana" w:hAnsi="Verdana" w:cs="Arial"/>
        </w:rPr>
        <w:t>º</w:t>
      </w:r>
      <w:r w:rsidRPr="00066769">
        <w:rPr>
          <w:rFonts w:ascii="Verdana" w:eastAsia="Times New Roman" w:hAnsi="Verdana" w:cs="Arial"/>
        </w:rPr>
        <w:t xml:space="preserve"> </w:t>
      </w:r>
      <w:r w:rsidR="00522BDF" w:rsidRPr="00066769">
        <w:rPr>
          <w:rFonts w:ascii="Verdana" w:eastAsia="Times New Roman" w:hAnsi="Verdana" w:cs="Arial"/>
        </w:rPr>
        <w:t>Revogam-se</w:t>
      </w:r>
      <w:r w:rsidR="00E978F4" w:rsidRPr="00066769">
        <w:rPr>
          <w:rFonts w:ascii="Verdana" w:eastAsia="Times New Roman" w:hAnsi="Verdana" w:cs="Arial"/>
        </w:rPr>
        <w:t xml:space="preserve"> os</w:t>
      </w:r>
      <w:r w:rsidR="00522BDF" w:rsidRPr="00066769">
        <w:rPr>
          <w:rFonts w:ascii="Verdana" w:eastAsia="Times New Roman" w:hAnsi="Verdana" w:cs="Arial"/>
        </w:rPr>
        <w:t xml:space="preserve"> </w:t>
      </w:r>
      <w:r w:rsidR="00F44496" w:rsidRPr="00066769">
        <w:rPr>
          <w:rFonts w:ascii="Verdana" w:eastAsia="Times New Roman" w:hAnsi="Verdana" w:cs="Arial"/>
        </w:rPr>
        <w:t>art</w:t>
      </w:r>
      <w:r w:rsidR="00740AC7" w:rsidRPr="00066769">
        <w:rPr>
          <w:rFonts w:ascii="Verdana" w:eastAsia="Times New Roman" w:hAnsi="Verdana" w:cs="Arial"/>
        </w:rPr>
        <w:t>s</w:t>
      </w:r>
      <w:r w:rsidR="00F44496" w:rsidRPr="00066769">
        <w:rPr>
          <w:rFonts w:ascii="Verdana" w:eastAsia="Times New Roman" w:hAnsi="Verdana" w:cs="Arial"/>
        </w:rPr>
        <w:t xml:space="preserve">. 119-A </w:t>
      </w:r>
      <w:r w:rsidR="00740AC7" w:rsidRPr="00066769">
        <w:rPr>
          <w:rFonts w:ascii="Verdana" w:eastAsia="Times New Roman" w:hAnsi="Verdana" w:cs="Arial"/>
        </w:rPr>
        <w:t xml:space="preserve">e 119-B </w:t>
      </w:r>
      <w:r w:rsidR="00F44496" w:rsidRPr="00066769">
        <w:rPr>
          <w:rFonts w:ascii="Verdana" w:eastAsia="Times New Roman" w:hAnsi="Verdana" w:cs="Arial"/>
        </w:rPr>
        <w:t xml:space="preserve">do Regimento Interno do Tribunal Administrativo Tributário, </w:t>
      </w:r>
      <w:r w:rsidR="00F4699B" w:rsidRPr="00066769">
        <w:rPr>
          <w:rFonts w:ascii="Verdana" w:eastAsia="Times New Roman" w:hAnsi="Verdana" w:cs="Arial"/>
        </w:rPr>
        <w:t xml:space="preserve">aprovado pelo </w:t>
      </w:r>
      <w:r w:rsidR="00F44496" w:rsidRPr="00066769">
        <w:rPr>
          <w:rFonts w:ascii="Verdana" w:hAnsi="Verdana" w:cs="Arial"/>
        </w:rPr>
        <w:t>Decreto n</w:t>
      </w:r>
      <w:r w:rsidR="00760BCC" w:rsidRPr="00066769">
        <w:rPr>
          <w:rFonts w:ascii="Verdana" w:hAnsi="Verdana" w:cs="Arial"/>
          <w:strike/>
        </w:rPr>
        <w:t>º</w:t>
      </w:r>
      <w:r w:rsidR="00F44496" w:rsidRPr="00066769">
        <w:rPr>
          <w:rFonts w:ascii="Verdana" w:hAnsi="Verdana" w:cs="Arial"/>
        </w:rPr>
        <w:t xml:space="preserve"> 14.320, de 24 de novembro de 2015.</w:t>
      </w:r>
    </w:p>
    <w:p w14:paraId="270FAE4F" w14:textId="77777777" w:rsidR="00B92224" w:rsidRPr="00066769" w:rsidRDefault="00B92224" w:rsidP="000E223E">
      <w:pPr>
        <w:ind w:firstLine="1134"/>
        <w:rPr>
          <w:rFonts w:ascii="Verdana" w:hAnsi="Verdana" w:cs="Arial"/>
        </w:rPr>
      </w:pPr>
    </w:p>
    <w:p w14:paraId="1F9EDA41" w14:textId="702E5EA5" w:rsidR="00740AC7" w:rsidRPr="00066769" w:rsidRDefault="00B92224" w:rsidP="000E223E">
      <w:pPr>
        <w:pStyle w:val="Padro"/>
        <w:spacing w:before="0"/>
        <w:ind w:firstLine="1134"/>
        <w:rPr>
          <w:rFonts w:ascii="Verdana" w:hAnsi="Verdana" w:cs="Arial"/>
          <w:bCs/>
          <w:color w:val="000000"/>
          <w:shd w:val="clear" w:color="auto" w:fill="FFFFFF"/>
        </w:rPr>
      </w:pPr>
      <w:r w:rsidRPr="00066769">
        <w:rPr>
          <w:rFonts w:ascii="Verdana" w:hAnsi="Verdana" w:cs="Arial"/>
        </w:rPr>
        <w:t xml:space="preserve">Parágrafo único. Em decorrência do disposto no </w:t>
      </w:r>
      <w:r w:rsidRPr="00066769">
        <w:rPr>
          <w:rFonts w:ascii="Verdana" w:hAnsi="Verdana" w:cs="Arial"/>
          <w:i/>
        </w:rPr>
        <w:t>caput</w:t>
      </w:r>
      <w:r w:rsidRPr="00066769">
        <w:rPr>
          <w:rFonts w:ascii="Verdana" w:hAnsi="Verdana" w:cs="Arial"/>
        </w:rPr>
        <w:t xml:space="preserve"> deste artigo, as sessões de julgamento de processos administrativos tributários</w:t>
      </w:r>
      <w:r w:rsidR="00F4699B" w:rsidRPr="00066769">
        <w:rPr>
          <w:rFonts w:ascii="Verdana" w:hAnsi="Verdana" w:cs="Arial"/>
        </w:rPr>
        <w:t>, a partir de</w:t>
      </w:r>
      <w:r w:rsidR="00053DA2" w:rsidRPr="00066769">
        <w:rPr>
          <w:rFonts w:ascii="Verdana" w:hAnsi="Verdana" w:cs="Arial"/>
        </w:rPr>
        <w:t xml:space="preserve"> 16 de novembro de 2021</w:t>
      </w:r>
      <w:r w:rsidR="00F4699B" w:rsidRPr="00066769">
        <w:rPr>
          <w:rFonts w:ascii="Verdana" w:hAnsi="Verdana" w:cs="Arial"/>
        </w:rPr>
        <w:t xml:space="preserve">, </w:t>
      </w:r>
      <w:r w:rsidRPr="00066769">
        <w:rPr>
          <w:rFonts w:ascii="Verdana" w:hAnsi="Verdana" w:cs="Arial"/>
          <w:bCs/>
        </w:rPr>
        <w:t>devem ser</w:t>
      </w:r>
      <w:r w:rsidRPr="00066769">
        <w:rPr>
          <w:rFonts w:ascii="Verdana" w:hAnsi="Verdana" w:cs="Arial"/>
          <w:b/>
          <w:bCs/>
        </w:rPr>
        <w:t xml:space="preserve"> </w:t>
      </w:r>
      <w:r w:rsidRPr="00066769">
        <w:rPr>
          <w:rFonts w:ascii="Verdana" w:hAnsi="Verdana" w:cs="Arial"/>
        </w:rPr>
        <w:t xml:space="preserve">realizadas de forma presencial, </w:t>
      </w:r>
      <w:r w:rsidR="00122552" w:rsidRPr="00066769">
        <w:rPr>
          <w:rFonts w:ascii="Verdana" w:hAnsi="Verdana" w:cs="Arial"/>
        </w:rPr>
        <w:t>observando-se as recomendações previstas no art. 5º</w:t>
      </w:r>
      <w:r w:rsidR="00F4699B" w:rsidRPr="00066769">
        <w:rPr>
          <w:rFonts w:ascii="Verdana" w:hAnsi="Verdana" w:cs="Arial"/>
        </w:rPr>
        <w:t xml:space="preserve"> </w:t>
      </w:r>
      <w:r w:rsidR="00122552" w:rsidRPr="00066769">
        <w:rPr>
          <w:rFonts w:ascii="Verdana" w:hAnsi="Verdana" w:cs="Arial"/>
        </w:rPr>
        <w:t xml:space="preserve">da </w:t>
      </w:r>
      <w:r w:rsidR="00122552" w:rsidRPr="00066769">
        <w:rPr>
          <w:rFonts w:ascii="Verdana" w:hAnsi="Verdana" w:cs="Arial"/>
          <w:bCs/>
          <w:color w:val="000000"/>
          <w:shd w:val="clear" w:color="auto" w:fill="FFFFFF"/>
        </w:rPr>
        <w:t xml:space="preserve">Resolução/SEFAZ </w:t>
      </w:r>
      <w:r w:rsidR="00F4699B" w:rsidRPr="00066769">
        <w:rPr>
          <w:rFonts w:ascii="Verdana" w:hAnsi="Verdana" w:cs="Arial"/>
          <w:bCs/>
          <w:color w:val="000000"/>
          <w:shd w:val="clear" w:color="auto" w:fill="FFFFFF"/>
        </w:rPr>
        <w:t>n</w:t>
      </w:r>
      <w:r w:rsidR="000A7936" w:rsidRPr="00066769">
        <w:rPr>
          <w:rFonts w:ascii="Verdana" w:hAnsi="Verdana" w:cs="Arial"/>
          <w:bCs/>
          <w:strike/>
          <w:color w:val="000000"/>
          <w:shd w:val="clear" w:color="auto" w:fill="FFFFFF"/>
        </w:rPr>
        <w:t>º</w:t>
      </w:r>
      <w:r w:rsidR="00F4699B" w:rsidRPr="00066769">
        <w:rPr>
          <w:rFonts w:ascii="Verdana" w:hAnsi="Verdana" w:cs="Arial"/>
          <w:bCs/>
          <w:color w:val="000000"/>
          <w:shd w:val="clear" w:color="auto" w:fill="FFFFFF"/>
        </w:rPr>
        <w:t xml:space="preserve"> </w:t>
      </w:r>
      <w:r w:rsidR="00122552" w:rsidRPr="00066769">
        <w:rPr>
          <w:rFonts w:ascii="Verdana" w:hAnsi="Verdana" w:cs="Arial"/>
          <w:bCs/>
          <w:color w:val="000000"/>
          <w:shd w:val="clear" w:color="auto" w:fill="FFFFFF"/>
        </w:rPr>
        <w:t>3.175, de 29 de julho de 2021</w:t>
      </w:r>
      <w:r w:rsidR="003669C2" w:rsidRPr="00066769">
        <w:rPr>
          <w:rFonts w:ascii="Verdana" w:hAnsi="Verdana" w:cs="Arial"/>
          <w:bCs/>
          <w:color w:val="000000"/>
          <w:shd w:val="clear" w:color="auto" w:fill="FFFFFF"/>
        </w:rPr>
        <w:t xml:space="preserve">, e </w:t>
      </w:r>
      <w:r w:rsidR="00CD26F1" w:rsidRPr="00066769">
        <w:rPr>
          <w:rFonts w:ascii="Verdana" w:hAnsi="Verdana" w:cs="Arial"/>
          <w:bCs/>
          <w:color w:val="000000"/>
          <w:shd w:val="clear" w:color="auto" w:fill="FFFFFF"/>
        </w:rPr>
        <w:t xml:space="preserve">ressalvado </w:t>
      </w:r>
      <w:r w:rsidR="003669C2" w:rsidRPr="00066769">
        <w:rPr>
          <w:rFonts w:ascii="Verdana" w:hAnsi="Verdana" w:cs="Arial"/>
          <w:bCs/>
          <w:color w:val="000000"/>
          <w:shd w:val="clear" w:color="auto" w:fill="FFFFFF"/>
        </w:rPr>
        <w:t xml:space="preserve">o disposto nos arts. </w:t>
      </w:r>
      <w:r w:rsidR="00740AC7" w:rsidRPr="00066769">
        <w:rPr>
          <w:rFonts w:ascii="Verdana" w:hAnsi="Verdana" w:cs="Arial"/>
          <w:bCs/>
          <w:color w:val="000000"/>
          <w:shd w:val="clear" w:color="auto" w:fill="FFFFFF"/>
        </w:rPr>
        <w:t xml:space="preserve">119-C, 119-D e 119-E do Regimento </w:t>
      </w:r>
      <w:r w:rsidR="00740AC7" w:rsidRPr="00066769">
        <w:rPr>
          <w:rFonts w:ascii="Verdana" w:hAnsi="Verdana" w:cs="Arial"/>
          <w:bCs/>
          <w:color w:val="000000"/>
          <w:shd w:val="clear" w:color="auto" w:fill="FFFFFF"/>
        </w:rPr>
        <w:lastRenderedPageBreak/>
        <w:t xml:space="preserve">Interno do Tribunal Administrativo Tributário, acrescentados </w:t>
      </w:r>
      <w:r w:rsidR="00CD26F1" w:rsidRPr="00066769">
        <w:rPr>
          <w:rFonts w:ascii="Verdana" w:hAnsi="Verdana" w:cs="Arial"/>
          <w:bCs/>
          <w:color w:val="000000"/>
          <w:shd w:val="clear" w:color="auto" w:fill="FFFFFF"/>
        </w:rPr>
        <w:t xml:space="preserve">pelo art. </w:t>
      </w:r>
      <w:r w:rsidR="00E978F4" w:rsidRPr="00066769">
        <w:rPr>
          <w:rFonts w:ascii="Verdana" w:hAnsi="Verdana" w:cs="Arial"/>
          <w:bCs/>
          <w:color w:val="000000"/>
          <w:shd w:val="clear" w:color="auto" w:fill="FFFFFF"/>
        </w:rPr>
        <w:t>1</w:t>
      </w:r>
      <w:r w:rsidR="00CD26F1" w:rsidRPr="00066769">
        <w:rPr>
          <w:rFonts w:ascii="Verdana" w:hAnsi="Verdana" w:cs="Arial"/>
          <w:bCs/>
          <w:color w:val="000000"/>
          <w:shd w:val="clear" w:color="auto" w:fill="FFFFFF"/>
        </w:rPr>
        <w:t>º d</w:t>
      </w:r>
      <w:r w:rsidR="00740AC7" w:rsidRPr="00066769">
        <w:rPr>
          <w:rFonts w:ascii="Verdana" w:hAnsi="Verdana" w:cs="Arial"/>
          <w:bCs/>
          <w:color w:val="000000"/>
          <w:shd w:val="clear" w:color="auto" w:fill="FFFFFF"/>
        </w:rPr>
        <w:t>este Decreto.</w:t>
      </w:r>
    </w:p>
    <w:p w14:paraId="01B61AF0" w14:textId="77777777" w:rsidR="00D624EA" w:rsidRPr="00066769" w:rsidRDefault="00D624EA" w:rsidP="000E223E">
      <w:pPr>
        <w:pStyle w:val="Padro"/>
        <w:spacing w:before="0"/>
        <w:ind w:firstLine="1134"/>
        <w:rPr>
          <w:rFonts w:ascii="Verdana" w:hAnsi="Verdana" w:cs="Arial"/>
        </w:rPr>
      </w:pPr>
    </w:p>
    <w:p w14:paraId="42342B46" w14:textId="0AAD8503" w:rsidR="00A409DA" w:rsidRPr="00066769" w:rsidRDefault="00A409DA" w:rsidP="000E223E">
      <w:pPr>
        <w:ind w:firstLine="1134"/>
        <w:rPr>
          <w:rFonts w:ascii="Verdana" w:eastAsia="Times New Roman" w:hAnsi="Verdana" w:cs="Arial"/>
        </w:rPr>
      </w:pPr>
      <w:r w:rsidRPr="00066769">
        <w:rPr>
          <w:rFonts w:ascii="Verdana" w:eastAsia="Times New Roman" w:hAnsi="Verdana" w:cs="Arial"/>
        </w:rPr>
        <w:t xml:space="preserve">Art. </w:t>
      </w:r>
      <w:r w:rsidR="00D624EA" w:rsidRPr="00066769">
        <w:rPr>
          <w:rFonts w:ascii="Verdana" w:eastAsia="Times New Roman" w:hAnsi="Verdana" w:cs="Arial"/>
        </w:rPr>
        <w:t>3</w:t>
      </w:r>
      <w:r w:rsidRPr="00066769">
        <w:rPr>
          <w:rFonts w:ascii="Verdana" w:eastAsia="Times New Roman" w:hAnsi="Verdana" w:cs="Arial"/>
        </w:rPr>
        <w:t>º Este Decreto entra em vigor na data de sua publicação</w:t>
      </w:r>
      <w:r w:rsidR="00A045F2" w:rsidRPr="00066769">
        <w:rPr>
          <w:rFonts w:ascii="Verdana" w:eastAsia="Times New Roman" w:hAnsi="Verdana" w:cs="Arial"/>
        </w:rPr>
        <w:t>, produzindo efeitos a contar de 16 de novembro de 2021.</w:t>
      </w:r>
    </w:p>
    <w:p w14:paraId="666CFE36" w14:textId="77777777" w:rsidR="00A409DA" w:rsidRPr="00066769" w:rsidRDefault="00A409DA" w:rsidP="000E223E">
      <w:pPr>
        <w:ind w:firstLine="1134"/>
        <w:rPr>
          <w:rFonts w:ascii="Verdana" w:eastAsia="Times New Roman" w:hAnsi="Verdana" w:cs="Arial"/>
        </w:rPr>
      </w:pPr>
    </w:p>
    <w:p w14:paraId="76482AC1" w14:textId="42975059" w:rsidR="00A409DA" w:rsidRPr="00066769" w:rsidRDefault="003C0798" w:rsidP="000E223E">
      <w:pPr>
        <w:pStyle w:val="Padro"/>
        <w:spacing w:before="0"/>
        <w:ind w:firstLine="1134"/>
        <w:rPr>
          <w:rFonts w:ascii="Verdana" w:hAnsi="Verdana" w:cs="Arial"/>
        </w:rPr>
      </w:pPr>
      <w:r w:rsidRPr="00066769">
        <w:rPr>
          <w:rFonts w:ascii="Verdana" w:hAnsi="Verdana" w:cs="Arial"/>
        </w:rPr>
        <w:t>Campo Grande,</w:t>
      </w:r>
      <w:r w:rsidR="00066769">
        <w:rPr>
          <w:rFonts w:ascii="Verdana" w:hAnsi="Verdana" w:cs="Arial"/>
        </w:rPr>
        <w:t xml:space="preserve"> 3 de março de 2022.</w:t>
      </w:r>
    </w:p>
    <w:p w14:paraId="499D2506" w14:textId="77777777" w:rsidR="003C0798" w:rsidRPr="00066769" w:rsidRDefault="003C0798" w:rsidP="000E223E">
      <w:pPr>
        <w:pStyle w:val="Padro"/>
        <w:spacing w:before="0"/>
        <w:ind w:firstLine="1134"/>
        <w:rPr>
          <w:rFonts w:ascii="Verdana" w:hAnsi="Verdana" w:cs="Arial"/>
        </w:rPr>
      </w:pPr>
    </w:p>
    <w:p w14:paraId="2CA23B36" w14:textId="77777777" w:rsidR="003C0798" w:rsidRPr="00066769" w:rsidRDefault="003C0798" w:rsidP="000E223E">
      <w:pPr>
        <w:pStyle w:val="Padro"/>
        <w:spacing w:before="0"/>
        <w:ind w:firstLine="1134"/>
        <w:rPr>
          <w:rFonts w:ascii="Verdana" w:hAnsi="Verdana" w:cs="Arial"/>
        </w:rPr>
      </w:pPr>
    </w:p>
    <w:p w14:paraId="66C64CE6" w14:textId="77777777" w:rsidR="00954F41" w:rsidRPr="00066769" w:rsidRDefault="00954F41" w:rsidP="000E223E">
      <w:pPr>
        <w:pStyle w:val="Padro"/>
        <w:spacing w:before="0"/>
        <w:ind w:firstLine="1134"/>
        <w:rPr>
          <w:rFonts w:ascii="Verdana" w:hAnsi="Verdana" w:cs="Arial"/>
        </w:rPr>
      </w:pPr>
    </w:p>
    <w:p w14:paraId="6080FBEE" w14:textId="77777777" w:rsidR="00A409DA" w:rsidRPr="00066769" w:rsidRDefault="00A409DA" w:rsidP="000E223E">
      <w:pPr>
        <w:pStyle w:val="Padro"/>
        <w:spacing w:before="0"/>
        <w:ind w:firstLine="1134"/>
        <w:rPr>
          <w:rFonts w:ascii="Verdana" w:hAnsi="Verdana" w:cs="Arial"/>
        </w:rPr>
      </w:pPr>
      <w:r w:rsidRPr="00066769">
        <w:rPr>
          <w:rFonts w:ascii="Verdana" w:hAnsi="Verdana" w:cs="Arial"/>
        </w:rPr>
        <w:t>REINALDO AZAMBUJA SILVA</w:t>
      </w:r>
    </w:p>
    <w:p w14:paraId="4F4DB446" w14:textId="77777777" w:rsidR="00A409DA" w:rsidRPr="00066769" w:rsidRDefault="00A409DA" w:rsidP="000E223E">
      <w:pPr>
        <w:pStyle w:val="Padro"/>
        <w:spacing w:before="0"/>
        <w:ind w:firstLine="1134"/>
        <w:rPr>
          <w:rFonts w:ascii="Verdana" w:hAnsi="Verdana" w:cs="Arial"/>
        </w:rPr>
      </w:pPr>
      <w:r w:rsidRPr="00066769">
        <w:rPr>
          <w:rFonts w:ascii="Verdana" w:hAnsi="Verdana" w:cs="Arial"/>
        </w:rPr>
        <w:t>Governador do Estado</w:t>
      </w:r>
    </w:p>
    <w:p w14:paraId="7309C0F6" w14:textId="77777777" w:rsidR="00A409DA" w:rsidRPr="00066769" w:rsidRDefault="00A409DA" w:rsidP="000E223E">
      <w:pPr>
        <w:pStyle w:val="Padro"/>
        <w:spacing w:before="0"/>
        <w:ind w:firstLine="1134"/>
        <w:rPr>
          <w:rFonts w:ascii="Verdana" w:hAnsi="Verdana" w:cs="Arial"/>
        </w:rPr>
      </w:pPr>
    </w:p>
    <w:p w14:paraId="583C8DE9" w14:textId="77777777" w:rsidR="003C0798" w:rsidRPr="00066769" w:rsidRDefault="003C0798" w:rsidP="000E223E">
      <w:pPr>
        <w:pStyle w:val="Padro"/>
        <w:spacing w:before="0"/>
        <w:ind w:firstLine="1134"/>
        <w:rPr>
          <w:rFonts w:ascii="Verdana" w:hAnsi="Verdana" w:cs="Arial"/>
        </w:rPr>
      </w:pPr>
    </w:p>
    <w:p w14:paraId="261CF6E4" w14:textId="77777777" w:rsidR="003C0798" w:rsidRPr="00066769" w:rsidRDefault="003C0798" w:rsidP="000E223E">
      <w:pPr>
        <w:pStyle w:val="Padro"/>
        <w:spacing w:before="0"/>
        <w:ind w:firstLine="1134"/>
        <w:rPr>
          <w:rFonts w:ascii="Verdana" w:hAnsi="Verdana" w:cs="Arial"/>
        </w:rPr>
      </w:pPr>
    </w:p>
    <w:p w14:paraId="40385B1A" w14:textId="77777777" w:rsidR="00A409DA" w:rsidRPr="00066769" w:rsidRDefault="00A409DA" w:rsidP="000E223E">
      <w:pPr>
        <w:pStyle w:val="Padro"/>
        <w:spacing w:before="0"/>
        <w:ind w:firstLine="1134"/>
        <w:rPr>
          <w:rFonts w:ascii="Verdana" w:hAnsi="Verdana" w:cs="Arial"/>
        </w:rPr>
      </w:pPr>
      <w:r w:rsidRPr="00066769">
        <w:rPr>
          <w:rFonts w:ascii="Verdana" w:hAnsi="Verdana" w:cs="Arial"/>
        </w:rPr>
        <w:t>FELIPE MATTOS DE LIMA RIBEIRO</w:t>
      </w:r>
    </w:p>
    <w:p w14:paraId="4D0BB8DB" w14:textId="77777777" w:rsidR="00A409DA" w:rsidRPr="00066769" w:rsidRDefault="00A409DA" w:rsidP="000E223E">
      <w:pPr>
        <w:pStyle w:val="Padro"/>
        <w:spacing w:before="0"/>
        <w:ind w:firstLine="1134"/>
        <w:rPr>
          <w:rFonts w:ascii="Verdana" w:hAnsi="Verdana" w:cs="Arial"/>
        </w:rPr>
      </w:pPr>
      <w:r w:rsidRPr="00066769">
        <w:rPr>
          <w:rFonts w:ascii="Verdana" w:hAnsi="Verdana" w:cs="Arial"/>
        </w:rPr>
        <w:t>Secretário de Estado de Fazenda</w:t>
      </w:r>
    </w:p>
    <w:bookmarkEnd w:id="0"/>
    <w:p w14:paraId="55BF7D2D" w14:textId="77777777" w:rsidR="00B21C37" w:rsidRPr="00066769" w:rsidRDefault="00B21C37" w:rsidP="00F4699B">
      <w:pPr>
        <w:ind w:firstLine="1418"/>
        <w:rPr>
          <w:rFonts w:ascii="Verdana" w:hAnsi="Verdana" w:cs="Arial"/>
        </w:rPr>
      </w:pPr>
    </w:p>
    <w:sectPr w:rsidR="00B21C37" w:rsidRPr="00066769" w:rsidSect="00066769">
      <w:footerReference w:type="default" r:id="rId7"/>
      <w:pgSz w:w="11906" w:h="16838"/>
      <w:pgMar w:top="851" w:right="2268" w:bottom="851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B8A7F" w14:textId="77777777" w:rsidR="00D2003C" w:rsidRDefault="00D2003C" w:rsidP="00D2003C">
      <w:r>
        <w:separator/>
      </w:r>
    </w:p>
  </w:endnote>
  <w:endnote w:type="continuationSeparator" w:id="0">
    <w:p w14:paraId="3CAFC8A3" w14:textId="77777777" w:rsidR="00D2003C" w:rsidRDefault="00D2003C" w:rsidP="00D2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67954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19667FD9" w14:textId="402B82CD" w:rsidR="00D2003C" w:rsidRPr="00D2003C" w:rsidRDefault="00D2003C">
        <w:pPr>
          <w:pStyle w:val="Rodap"/>
          <w:jc w:val="right"/>
          <w:rPr>
            <w:rFonts w:ascii="Verdana" w:hAnsi="Verdana"/>
            <w:sz w:val="18"/>
            <w:szCs w:val="18"/>
          </w:rPr>
        </w:pPr>
        <w:r w:rsidRPr="00D2003C">
          <w:rPr>
            <w:rFonts w:ascii="Verdana" w:hAnsi="Verdana"/>
            <w:sz w:val="18"/>
            <w:szCs w:val="18"/>
          </w:rPr>
          <w:fldChar w:fldCharType="begin"/>
        </w:r>
        <w:r w:rsidRPr="00D2003C">
          <w:rPr>
            <w:rFonts w:ascii="Verdana" w:hAnsi="Verdana"/>
            <w:sz w:val="18"/>
            <w:szCs w:val="18"/>
          </w:rPr>
          <w:instrText>PAGE   \* MERGEFORMAT</w:instrText>
        </w:r>
        <w:r w:rsidRPr="00D2003C">
          <w:rPr>
            <w:rFonts w:ascii="Verdana" w:hAnsi="Verdana"/>
            <w:sz w:val="18"/>
            <w:szCs w:val="18"/>
          </w:rPr>
          <w:fldChar w:fldCharType="separate"/>
        </w:r>
        <w:r w:rsidR="00197FF7">
          <w:rPr>
            <w:rFonts w:ascii="Verdana" w:hAnsi="Verdana"/>
            <w:noProof/>
            <w:sz w:val="18"/>
            <w:szCs w:val="18"/>
          </w:rPr>
          <w:t>1</w:t>
        </w:r>
        <w:r w:rsidRPr="00D2003C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7510419C" w14:textId="77777777" w:rsidR="00D2003C" w:rsidRDefault="00D200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A81D0" w14:textId="77777777" w:rsidR="00D2003C" w:rsidRDefault="00D2003C" w:rsidP="00D2003C">
      <w:r>
        <w:separator/>
      </w:r>
    </w:p>
  </w:footnote>
  <w:footnote w:type="continuationSeparator" w:id="0">
    <w:p w14:paraId="42EDB65C" w14:textId="77777777" w:rsidR="00D2003C" w:rsidRDefault="00D2003C" w:rsidP="00D20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24E77"/>
    <w:multiLevelType w:val="hybridMultilevel"/>
    <w:tmpl w:val="43D4784A"/>
    <w:lvl w:ilvl="0" w:tplc="225ED9C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40456A02"/>
    <w:multiLevelType w:val="hybridMultilevel"/>
    <w:tmpl w:val="AC548D76"/>
    <w:lvl w:ilvl="0" w:tplc="A7D660B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EC4"/>
    <w:rsid w:val="00053DA2"/>
    <w:rsid w:val="00066769"/>
    <w:rsid w:val="00077855"/>
    <w:rsid w:val="000778E2"/>
    <w:rsid w:val="000A3D50"/>
    <w:rsid w:val="000A7936"/>
    <w:rsid w:val="000D13BE"/>
    <w:rsid w:val="000E223E"/>
    <w:rsid w:val="00122552"/>
    <w:rsid w:val="00126AEB"/>
    <w:rsid w:val="0017199A"/>
    <w:rsid w:val="00197FF7"/>
    <w:rsid w:val="001A3624"/>
    <w:rsid w:val="00310EF5"/>
    <w:rsid w:val="0035052F"/>
    <w:rsid w:val="003669C2"/>
    <w:rsid w:val="003C0798"/>
    <w:rsid w:val="003D59BA"/>
    <w:rsid w:val="00412285"/>
    <w:rsid w:val="00434EC4"/>
    <w:rsid w:val="004D205F"/>
    <w:rsid w:val="00520DAF"/>
    <w:rsid w:val="00522BDF"/>
    <w:rsid w:val="00583A5D"/>
    <w:rsid w:val="005C5380"/>
    <w:rsid w:val="005F7096"/>
    <w:rsid w:val="00637F5F"/>
    <w:rsid w:val="00655572"/>
    <w:rsid w:val="006A5B0C"/>
    <w:rsid w:val="006D7FA8"/>
    <w:rsid w:val="00740AC7"/>
    <w:rsid w:val="00760BCC"/>
    <w:rsid w:val="00954F41"/>
    <w:rsid w:val="00963214"/>
    <w:rsid w:val="009A7622"/>
    <w:rsid w:val="009C4106"/>
    <w:rsid w:val="009E1A1D"/>
    <w:rsid w:val="009F51DE"/>
    <w:rsid w:val="00A045F2"/>
    <w:rsid w:val="00A409DA"/>
    <w:rsid w:val="00A733EF"/>
    <w:rsid w:val="00A831C4"/>
    <w:rsid w:val="00A843B6"/>
    <w:rsid w:val="00AF6E3C"/>
    <w:rsid w:val="00B2091B"/>
    <w:rsid w:val="00B21309"/>
    <w:rsid w:val="00B21C37"/>
    <w:rsid w:val="00B32AB4"/>
    <w:rsid w:val="00B92224"/>
    <w:rsid w:val="00C518B6"/>
    <w:rsid w:val="00C857DF"/>
    <w:rsid w:val="00C86B69"/>
    <w:rsid w:val="00CA2C72"/>
    <w:rsid w:val="00CA4E86"/>
    <w:rsid w:val="00CD0CE5"/>
    <w:rsid w:val="00CD26F1"/>
    <w:rsid w:val="00D2003C"/>
    <w:rsid w:val="00D211EC"/>
    <w:rsid w:val="00D36BD2"/>
    <w:rsid w:val="00D624EA"/>
    <w:rsid w:val="00D84EF6"/>
    <w:rsid w:val="00DB0D5D"/>
    <w:rsid w:val="00DF0CD0"/>
    <w:rsid w:val="00E978F4"/>
    <w:rsid w:val="00F44496"/>
    <w:rsid w:val="00F4699B"/>
    <w:rsid w:val="00F8534F"/>
    <w:rsid w:val="00F90C37"/>
    <w:rsid w:val="00FD02E6"/>
    <w:rsid w:val="00FE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8F95"/>
  <w15:chartTrackingRefBased/>
  <w15:docId w15:val="{3F7BCD8A-7134-4478-A62B-4502A0DB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9DA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basedOn w:val="Normal"/>
    <w:rsid w:val="00A409DA"/>
    <w:pPr>
      <w:spacing w:before="240"/>
      <w:ind w:firstLine="2268"/>
    </w:pPr>
  </w:style>
  <w:style w:type="character" w:styleId="Hyperlink">
    <w:name w:val="Hyperlink"/>
    <w:uiPriority w:val="99"/>
    <w:unhideWhenUsed/>
    <w:rsid w:val="00A409DA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719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199A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199A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19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199A"/>
    <w:rPr>
      <w:rFonts w:ascii="Times New Roman" w:eastAsia="Calibri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19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199A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200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003C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200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003C"/>
    <w:rPr>
      <w:rFonts w:ascii="Times New Roman" w:eastAsia="Calibri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5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1206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Neuza Maria Mecatti</dc:creator>
  <cp:keywords/>
  <dc:description/>
  <cp:lastModifiedBy>Marcos Alexandre Gomes de Almeida</cp:lastModifiedBy>
  <cp:revision>9</cp:revision>
  <cp:lastPrinted>2021-11-05T18:30:00Z</cp:lastPrinted>
  <dcterms:created xsi:type="dcterms:W3CDTF">2021-11-05T20:54:00Z</dcterms:created>
  <dcterms:modified xsi:type="dcterms:W3CDTF">2022-03-04T15:07:00Z</dcterms:modified>
</cp:coreProperties>
</file>