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5EE" w:rsidRPr="00105725" w:rsidRDefault="004945EE" w:rsidP="001126C7">
      <w:pPr>
        <w:pStyle w:val="NormalWeb"/>
        <w:shd w:val="clear" w:color="auto" w:fill="FFFFFF"/>
        <w:spacing w:before="0" w:beforeAutospacing="0" w:after="0" w:afterAutospacing="0"/>
        <w:jc w:val="center"/>
        <w:rPr>
          <w:rFonts w:ascii="Verdana" w:hAnsi="Verdana"/>
          <w:b/>
          <w:sz w:val="18"/>
          <w:szCs w:val="18"/>
          <w:shd w:val="clear" w:color="auto" w:fill="FFFFFF"/>
        </w:rPr>
      </w:pPr>
      <w:r w:rsidRPr="00105725">
        <w:rPr>
          <w:rFonts w:ascii="Verdana" w:hAnsi="Verdana"/>
          <w:b/>
          <w:sz w:val="18"/>
          <w:szCs w:val="18"/>
          <w:shd w:val="clear" w:color="auto" w:fill="FFFFFF"/>
        </w:rPr>
        <w:t>ESTADO DE MATO GROSSO DO SUL</w:t>
      </w:r>
    </w:p>
    <w:p w:rsidR="004945EE" w:rsidRPr="00105725" w:rsidRDefault="004945EE" w:rsidP="001126C7">
      <w:pPr>
        <w:pStyle w:val="NormalWeb"/>
        <w:spacing w:before="0" w:beforeAutospacing="0" w:after="0" w:afterAutospacing="0"/>
        <w:jc w:val="center"/>
        <w:rPr>
          <w:rFonts w:ascii="Verdana" w:hAnsi="Verdana"/>
          <w:b/>
          <w:bCs/>
          <w:sz w:val="18"/>
          <w:szCs w:val="18"/>
          <w:shd w:val="clear" w:color="auto" w:fill="FFFFFF"/>
        </w:rPr>
      </w:pPr>
      <w:r w:rsidRPr="00105725">
        <w:rPr>
          <w:rFonts w:ascii="Verdana" w:hAnsi="Verdana"/>
          <w:b/>
          <w:bCs/>
          <w:sz w:val="18"/>
          <w:szCs w:val="18"/>
          <w:shd w:val="clear" w:color="auto" w:fill="FFFFFF"/>
        </w:rPr>
        <w:t>TRIBUNAL ADMINISTRATIVO TRIBUTÁRIO</w:t>
      </w:r>
    </w:p>
    <w:p w:rsidR="0058618E" w:rsidRPr="00105725" w:rsidRDefault="0058618E" w:rsidP="004945EE">
      <w:pPr>
        <w:pStyle w:val="NormalWeb"/>
        <w:spacing w:before="0" w:beforeAutospacing="0" w:after="0" w:afterAutospacing="0"/>
        <w:rPr>
          <w:rFonts w:ascii="Verdana" w:hAnsi="Verdana"/>
          <w:sz w:val="18"/>
          <w:szCs w:val="18"/>
          <w:shd w:val="clear" w:color="auto" w:fill="FFFFFF"/>
        </w:rPr>
      </w:pPr>
    </w:p>
    <w:p w:rsidR="00EC78F4" w:rsidRPr="00105725" w:rsidRDefault="00EC78F4" w:rsidP="00EC78F4">
      <w:pPr>
        <w:pStyle w:val="NormalWeb"/>
        <w:spacing w:before="0" w:beforeAutospacing="0" w:after="0" w:afterAutospacing="0"/>
        <w:jc w:val="center"/>
        <w:rPr>
          <w:rFonts w:ascii="Verdana" w:hAnsi="Verdana"/>
          <w:sz w:val="18"/>
          <w:szCs w:val="18"/>
          <w:shd w:val="clear" w:color="auto" w:fill="FFFFFF"/>
        </w:rPr>
      </w:pPr>
    </w:p>
    <w:p w:rsidR="004945EE" w:rsidRPr="00105725" w:rsidRDefault="004945EE" w:rsidP="00EC78F4">
      <w:pPr>
        <w:pStyle w:val="NormalWeb"/>
        <w:spacing w:before="0" w:beforeAutospacing="0" w:after="0" w:afterAutospacing="0"/>
        <w:jc w:val="center"/>
        <w:rPr>
          <w:rFonts w:ascii="Verdana" w:hAnsi="Verdana"/>
          <w:sz w:val="18"/>
          <w:szCs w:val="18"/>
          <w:shd w:val="clear" w:color="auto" w:fill="FFFFFF"/>
        </w:rPr>
      </w:pPr>
    </w:p>
    <w:p w:rsidR="008208E5" w:rsidRDefault="008208E5" w:rsidP="008208E5">
      <w:pPr>
        <w:pStyle w:val="Ttulo1"/>
        <w:tabs>
          <w:tab w:val="left" w:pos="840"/>
          <w:tab w:val="left" w:pos="3705"/>
        </w:tabs>
        <w:jc w:val="both"/>
        <w:rPr>
          <w:rFonts w:ascii="Verdana" w:hAnsi="Verdana"/>
          <w:sz w:val="18"/>
          <w:szCs w:val="18"/>
          <w:lang w:val="pt-BR"/>
        </w:rPr>
      </w:pPr>
      <w:r>
        <w:rPr>
          <w:rFonts w:ascii="Verdana" w:hAnsi="Verdana"/>
          <w:sz w:val="18"/>
          <w:szCs w:val="18"/>
        </w:rPr>
        <w:t>PUBLICADA NO DOE n. 10.</w:t>
      </w:r>
      <w:r>
        <w:rPr>
          <w:rFonts w:ascii="Verdana" w:hAnsi="Verdana"/>
          <w:sz w:val="18"/>
          <w:szCs w:val="18"/>
          <w:lang w:val="pt-BR"/>
        </w:rPr>
        <w:t>937</w:t>
      </w:r>
      <w:r>
        <w:rPr>
          <w:rFonts w:ascii="Verdana" w:hAnsi="Verdana"/>
          <w:sz w:val="18"/>
          <w:szCs w:val="18"/>
        </w:rPr>
        <w:t xml:space="preserve"> de </w:t>
      </w:r>
      <w:r>
        <w:rPr>
          <w:rFonts w:ascii="Verdana" w:hAnsi="Verdana"/>
          <w:sz w:val="18"/>
          <w:szCs w:val="18"/>
          <w:lang w:val="pt-BR"/>
        </w:rPr>
        <w:t>13</w:t>
      </w:r>
      <w:r>
        <w:rPr>
          <w:rFonts w:ascii="Verdana" w:hAnsi="Verdana"/>
          <w:sz w:val="18"/>
          <w:szCs w:val="18"/>
        </w:rPr>
        <w:t>/</w:t>
      </w:r>
      <w:r>
        <w:rPr>
          <w:rFonts w:ascii="Verdana" w:hAnsi="Verdana"/>
          <w:sz w:val="18"/>
          <w:szCs w:val="18"/>
          <w:lang w:val="pt-BR"/>
        </w:rPr>
        <w:t>9</w:t>
      </w:r>
      <w:r>
        <w:rPr>
          <w:rFonts w:ascii="Verdana" w:hAnsi="Verdana"/>
          <w:sz w:val="18"/>
          <w:szCs w:val="18"/>
        </w:rPr>
        <w:t>/2022, p.</w:t>
      </w:r>
      <w:r>
        <w:rPr>
          <w:rFonts w:ascii="Verdana" w:hAnsi="Verdana"/>
          <w:sz w:val="18"/>
          <w:szCs w:val="18"/>
          <w:lang w:val="pt-BR"/>
        </w:rPr>
        <w:t xml:space="preserve"> 7/9.</w:t>
      </w:r>
    </w:p>
    <w:p w:rsidR="00AF4A25" w:rsidRDefault="00AF4A25" w:rsidP="00AF4A25">
      <w:pPr>
        <w:pStyle w:val="Ttulo1"/>
        <w:tabs>
          <w:tab w:val="left" w:pos="840"/>
          <w:tab w:val="left" w:pos="3705"/>
        </w:tabs>
        <w:jc w:val="both"/>
        <w:rPr>
          <w:rFonts w:ascii="Verdana" w:hAnsi="Verdana"/>
          <w:sz w:val="18"/>
          <w:szCs w:val="18"/>
          <w:lang w:val="pt-BR"/>
        </w:rPr>
      </w:pPr>
      <w:r>
        <w:rPr>
          <w:rFonts w:ascii="Verdana" w:hAnsi="Verdana"/>
          <w:sz w:val="18"/>
          <w:szCs w:val="18"/>
          <w:lang w:val="pt-BR"/>
        </w:rPr>
        <w:t>RETIFICADA</w:t>
      </w:r>
      <w:r>
        <w:rPr>
          <w:rFonts w:ascii="Verdana" w:hAnsi="Verdana"/>
          <w:sz w:val="18"/>
          <w:szCs w:val="18"/>
        </w:rPr>
        <w:t xml:space="preserve"> NO DOE n. 10.</w:t>
      </w:r>
      <w:r>
        <w:rPr>
          <w:rFonts w:ascii="Verdana" w:hAnsi="Verdana"/>
          <w:sz w:val="18"/>
          <w:szCs w:val="18"/>
          <w:lang w:val="pt-BR"/>
        </w:rPr>
        <w:t>9</w:t>
      </w:r>
      <w:r>
        <w:rPr>
          <w:rFonts w:ascii="Verdana" w:hAnsi="Verdana"/>
          <w:sz w:val="18"/>
          <w:szCs w:val="18"/>
          <w:lang w:val="pt-BR"/>
        </w:rPr>
        <w:t>52</w:t>
      </w:r>
      <w:r>
        <w:rPr>
          <w:rFonts w:ascii="Verdana" w:hAnsi="Verdana"/>
          <w:sz w:val="18"/>
          <w:szCs w:val="18"/>
        </w:rPr>
        <w:t xml:space="preserve"> de </w:t>
      </w:r>
      <w:r>
        <w:rPr>
          <w:rFonts w:ascii="Verdana" w:hAnsi="Verdana"/>
          <w:sz w:val="18"/>
          <w:szCs w:val="18"/>
          <w:lang w:val="pt-BR"/>
        </w:rPr>
        <w:t>28</w:t>
      </w:r>
      <w:r>
        <w:rPr>
          <w:rFonts w:ascii="Verdana" w:hAnsi="Verdana"/>
          <w:sz w:val="18"/>
          <w:szCs w:val="18"/>
        </w:rPr>
        <w:t>/</w:t>
      </w:r>
      <w:r>
        <w:rPr>
          <w:rFonts w:ascii="Verdana" w:hAnsi="Verdana"/>
          <w:sz w:val="18"/>
          <w:szCs w:val="18"/>
          <w:lang w:val="pt-BR"/>
        </w:rPr>
        <w:t>9</w:t>
      </w:r>
      <w:r>
        <w:rPr>
          <w:rFonts w:ascii="Verdana" w:hAnsi="Verdana"/>
          <w:sz w:val="18"/>
          <w:szCs w:val="18"/>
        </w:rPr>
        <w:t>/2022, p.</w:t>
      </w:r>
      <w:r>
        <w:rPr>
          <w:rFonts w:ascii="Verdana" w:hAnsi="Verdana"/>
          <w:sz w:val="18"/>
          <w:szCs w:val="18"/>
          <w:lang w:val="pt-BR"/>
        </w:rPr>
        <w:t xml:space="preserve"> </w:t>
      </w:r>
      <w:r>
        <w:rPr>
          <w:rFonts w:ascii="Verdana" w:hAnsi="Verdana"/>
          <w:sz w:val="18"/>
          <w:szCs w:val="18"/>
          <w:lang w:val="pt-BR"/>
        </w:rPr>
        <w:t>5</w:t>
      </w:r>
      <w:r>
        <w:rPr>
          <w:rFonts w:ascii="Verdana" w:hAnsi="Verdana"/>
          <w:sz w:val="18"/>
          <w:szCs w:val="18"/>
          <w:lang w:val="pt-BR"/>
        </w:rPr>
        <w:t>.</w:t>
      </w:r>
    </w:p>
    <w:p w:rsidR="00585E3C" w:rsidRPr="00105725" w:rsidRDefault="00585E3C" w:rsidP="00585E3C">
      <w:pPr>
        <w:jc w:val="both"/>
        <w:rPr>
          <w:rFonts w:ascii="Verdana" w:hAnsi="Verdana" w:cs="Arial"/>
          <w:sz w:val="18"/>
          <w:szCs w:val="18"/>
        </w:rPr>
      </w:pPr>
      <w:r w:rsidRPr="00105725">
        <w:rPr>
          <w:rFonts w:ascii="Verdana" w:hAnsi="Verdana" w:cs="Arial"/>
          <w:sz w:val="18"/>
          <w:szCs w:val="18"/>
        </w:rPr>
        <w:t xml:space="preserve">RESOLUÇÃO/TAT/MS Nº </w:t>
      </w:r>
      <w:r w:rsidR="00000F7E">
        <w:rPr>
          <w:rFonts w:ascii="Verdana" w:hAnsi="Verdana" w:cs="Arial"/>
          <w:sz w:val="18"/>
          <w:szCs w:val="18"/>
        </w:rPr>
        <w:t>8</w:t>
      </w:r>
      <w:r w:rsidRPr="00105725">
        <w:rPr>
          <w:rFonts w:ascii="Verdana" w:hAnsi="Verdana" w:cs="Arial"/>
          <w:sz w:val="18"/>
          <w:szCs w:val="18"/>
        </w:rPr>
        <w:t xml:space="preserve">/2022, DE </w:t>
      </w:r>
      <w:r w:rsidR="00000F7E">
        <w:rPr>
          <w:rFonts w:ascii="Verdana" w:hAnsi="Verdana" w:cs="Arial"/>
          <w:sz w:val="18"/>
          <w:szCs w:val="18"/>
        </w:rPr>
        <w:t>12</w:t>
      </w:r>
      <w:r w:rsidRPr="00105725">
        <w:rPr>
          <w:rFonts w:ascii="Verdana" w:hAnsi="Verdana" w:cs="Arial"/>
          <w:sz w:val="18"/>
          <w:szCs w:val="18"/>
        </w:rPr>
        <w:t xml:space="preserve"> DE </w:t>
      </w:r>
      <w:r w:rsidR="00000F7E">
        <w:rPr>
          <w:rFonts w:ascii="Verdana" w:hAnsi="Verdana" w:cs="Arial"/>
          <w:sz w:val="18"/>
          <w:szCs w:val="18"/>
        </w:rPr>
        <w:t>SETEMBRO</w:t>
      </w:r>
      <w:r w:rsidRPr="00105725">
        <w:rPr>
          <w:rFonts w:ascii="Verdana" w:hAnsi="Verdana" w:cs="Arial"/>
          <w:sz w:val="18"/>
          <w:szCs w:val="18"/>
        </w:rPr>
        <w:t xml:space="preserve"> DE 2022.</w:t>
      </w:r>
    </w:p>
    <w:p w:rsidR="00585E3C" w:rsidRPr="00105725" w:rsidRDefault="00585E3C" w:rsidP="00585E3C">
      <w:pPr>
        <w:ind w:left="4253"/>
        <w:jc w:val="both"/>
        <w:rPr>
          <w:rFonts w:ascii="Verdana" w:hAnsi="Verdana" w:cs="Arial"/>
          <w:i/>
          <w:sz w:val="18"/>
          <w:szCs w:val="18"/>
        </w:rPr>
      </w:pPr>
    </w:p>
    <w:p w:rsidR="00585E3C" w:rsidRPr="00105725" w:rsidRDefault="00585E3C" w:rsidP="00585E3C">
      <w:pPr>
        <w:ind w:left="4820"/>
        <w:jc w:val="both"/>
        <w:rPr>
          <w:rFonts w:ascii="Verdana" w:hAnsi="Verdana" w:cs="Arial"/>
          <w:i/>
          <w:sz w:val="18"/>
          <w:szCs w:val="18"/>
        </w:rPr>
      </w:pPr>
    </w:p>
    <w:p w:rsidR="00585E3C" w:rsidRPr="00105725" w:rsidRDefault="00585E3C" w:rsidP="00585E3C">
      <w:pPr>
        <w:ind w:left="4820"/>
        <w:jc w:val="both"/>
        <w:rPr>
          <w:rFonts w:ascii="Verdana" w:hAnsi="Verdana" w:cs="Arial"/>
          <w:i/>
          <w:sz w:val="18"/>
          <w:szCs w:val="18"/>
        </w:rPr>
      </w:pPr>
    </w:p>
    <w:p w:rsidR="00585E3C" w:rsidRPr="00105725" w:rsidRDefault="000F5806" w:rsidP="00585E3C">
      <w:pPr>
        <w:ind w:left="4820"/>
        <w:jc w:val="both"/>
        <w:rPr>
          <w:rFonts w:ascii="Verdana" w:hAnsi="Verdana" w:cs="Arial"/>
          <w:i/>
          <w:sz w:val="18"/>
          <w:szCs w:val="18"/>
        </w:rPr>
      </w:pPr>
      <w:r w:rsidRPr="00105725">
        <w:rPr>
          <w:rFonts w:ascii="Verdana" w:hAnsi="Verdana" w:cs="Arial"/>
          <w:i/>
          <w:sz w:val="18"/>
          <w:szCs w:val="18"/>
        </w:rPr>
        <w:t>C</w:t>
      </w:r>
      <w:r w:rsidR="00585E3C" w:rsidRPr="00105725">
        <w:rPr>
          <w:rFonts w:ascii="Verdana" w:hAnsi="Verdana" w:cs="Arial"/>
          <w:i/>
          <w:sz w:val="18"/>
          <w:szCs w:val="18"/>
        </w:rPr>
        <w:t>onsolidação de súmulas do Tribunal Administrativo Tributário.</w:t>
      </w:r>
    </w:p>
    <w:p w:rsidR="00EC78F4" w:rsidRPr="00105725" w:rsidRDefault="00EC78F4" w:rsidP="004945EE">
      <w:pPr>
        <w:pStyle w:val="NormalWeb"/>
        <w:shd w:val="clear" w:color="auto" w:fill="FFFFFF"/>
        <w:spacing w:before="0" w:beforeAutospacing="0" w:after="0" w:afterAutospacing="0"/>
        <w:jc w:val="both"/>
        <w:rPr>
          <w:rFonts w:ascii="Verdana" w:hAnsi="Verdana" w:cs="Arial"/>
          <w:sz w:val="18"/>
          <w:szCs w:val="18"/>
        </w:rPr>
      </w:pPr>
    </w:p>
    <w:p w:rsidR="00EC78F4" w:rsidRPr="00105725" w:rsidRDefault="00EC78F4" w:rsidP="004945EE">
      <w:pPr>
        <w:pStyle w:val="NormalWeb"/>
        <w:shd w:val="clear" w:color="auto" w:fill="FFFFFF"/>
        <w:spacing w:before="0" w:beforeAutospacing="0" w:after="0" w:afterAutospacing="0"/>
        <w:jc w:val="both"/>
        <w:rPr>
          <w:rFonts w:ascii="Verdana" w:hAnsi="Verdana" w:cs="Arial"/>
          <w:sz w:val="18"/>
          <w:szCs w:val="18"/>
        </w:rPr>
      </w:pPr>
    </w:p>
    <w:p w:rsidR="004945EE" w:rsidRPr="00105725" w:rsidRDefault="004945EE" w:rsidP="00105725">
      <w:pPr>
        <w:pStyle w:val="NormalWeb"/>
        <w:shd w:val="clear" w:color="auto" w:fill="FFFFFF"/>
        <w:spacing w:before="0" w:beforeAutospacing="0" w:after="0" w:afterAutospacing="0"/>
        <w:ind w:firstLine="709"/>
        <w:jc w:val="both"/>
        <w:rPr>
          <w:rFonts w:ascii="Verdana" w:hAnsi="Verdana" w:cs="Arial"/>
          <w:sz w:val="18"/>
          <w:szCs w:val="18"/>
        </w:rPr>
      </w:pPr>
      <w:r w:rsidRPr="00105725">
        <w:rPr>
          <w:rFonts w:ascii="Verdana" w:hAnsi="Verdana" w:cs="Arial"/>
          <w:sz w:val="18"/>
          <w:szCs w:val="18"/>
        </w:rPr>
        <w:t>O Presidente do Tribunal Administrativo Tributário, no uso de suas atribuições e em cumprimento ao disposto no art.</w:t>
      </w:r>
      <w:r w:rsidR="009056F0" w:rsidRPr="00105725">
        <w:rPr>
          <w:rFonts w:ascii="Verdana" w:hAnsi="Verdana" w:cs="Arial"/>
          <w:sz w:val="18"/>
          <w:szCs w:val="18"/>
        </w:rPr>
        <w:t xml:space="preserve"> 101, </w:t>
      </w:r>
      <w:r w:rsidR="009056F0" w:rsidRPr="00105725">
        <w:rPr>
          <w:rFonts w:ascii="Verdana" w:eastAsia="MS Mincho" w:hAnsi="Verdana" w:cs="Arial"/>
          <w:sz w:val="18"/>
          <w:szCs w:val="18"/>
          <w:lang w:eastAsia="ja-JP"/>
        </w:rPr>
        <w:t>§ 3º</w:t>
      </w:r>
      <w:r w:rsidRPr="00105725">
        <w:rPr>
          <w:rFonts w:ascii="Verdana" w:hAnsi="Verdana" w:cs="Arial"/>
          <w:sz w:val="18"/>
          <w:szCs w:val="18"/>
        </w:rPr>
        <w:t xml:space="preserve">, da Lei n. 2.315, de 25 de outubro de 2001, </w:t>
      </w:r>
      <w:r w:rsidR="009056F0" w:rsidRPr="00105725">
        <w:rPr>
          <w:rFonts w:ascii="Verdana" w:hAnsi="Verdana" w:cs="Arial"/>
          <w:sz w:val="18"/>
          <w:szCs w:val="18"/>
        </w:rPr>
        <w:t>e no art. 97, § 7º, do Regimento Interno, aprovado pelo Decreto n. 14</w:t>
      </w:r>
      <w:r w:rsidR="00D56FDA" w:rsidRPr="00105725">
        <w:rPr>
          <w:rFonts w:ascii="Verdana" w:hAnsi="Verdana" w:cs="Arial"/>
          <w:sz w:val="18"/>
          <w:szCs w:val="18"/>
        </w:rPr>
        <w:t>.</w:t>
      </w:r>
      <w:r w:rsidR="009056F0" w:rsidRPr="00105725">
        <w:rPr>
          <w:rFonts w:ascii="Verdana" w:hAnsi="Verdana" w:cs="Arial"/>
          <w:sz w:val="18"/>
          <w:szCs w:val="18"/>
        </w:rPr>
        <w:t>320,</w:t>
      </w:r>
      <w:r w:rsidR="009056F0" w:rsidRPr="00105725">
        <w:rPr>
          <w:rFonts w:ascii="Verdana" w:hAnsi="Verdana"/>
          <w:sz w:val="18"/>
          <w:szCs w:val="18"/>
        </w:rPr>
        <w:t xml:space="preserve"> 24 de novembro de 2015,</w:t>
      </w:r>
      <w:r w:rsidR="009056F0" w:rsidRPr="00105725">
        <w:rPr>
          <w:rFonts w:ascii="Verdana" w:hAnsi="Verdana" w:cs="Arial"/>
          <w:sz w:val="18"/>
          <w:szCs w:val="18"/>
        </w:rPr>
        <w:t xml:space="preserve"> </w:t>
      </w:r>
      <w:r w:rsidRPr="00105725">
        <w:rPr>
          <w:rFonts w:ascii="Verdana" w:hAnsi="Verdana" w:cs="Arial"/>
          <w:sz w:val="18"/>
          <w:szCs w:val="18"/>
        </w:rPr>
        <w:t>resolve:</w:t>
      </w:r>
    </w:p>
    <w:p w:rsidR="00585E3C" w:rsidRPr="00105725" w:rsidRDefault="00585E3C" w:rsidP="00105725">
      <w:pPr>
        <w:pStyle w:val="NormalWeb"/>
        <w:shd w:val="clear" w:color="auto" w:fill="FFFFFF"/>
        <w:spacing w:before="0" w:beforeAutospacing="0" w:after="0" w:afterAutospacing="0"/>
        <w:ind w:firstLine="709"/>
        <w:jc w:val="both"/>
        <w:rPr>
          <w:rFonts w:ascii="Verdana" w:hAnsi="Verdana" w:cs="Arial"/>
          <w:sz w:val="18"/>
          <w:szCs w:val="18"/>
        </w:rPr>
      </w:pPr>
    </w:p>
    <w:p w:rsidR="00585E3C" w:rsidRPr="00105725" w:rsidRDefault="00585E3C" w:rsidP="00105725">
      <w:pPr>
        <w:pStyle w:val="NormalWeb"/>
        <w:shd w:val="clear" w:color="auto" w:fill="FFFFFF"/>
        <w:spacing w:before="0" w:beforeAutospacing="0" w:after="0" w:afterAutospacing="0"/>
        <w:ind w:firstLine="709"/>
        <w:jc w:val="both"/>
        <w:rPr>
          <w:rFonts w:ascii="Verdana" w:hAnsi="Verdana" w:cs="Arial"/>
          <w:sz w:val="18"/>
          <w:szCs w:val="18"/>
        </w:rPr>
      </w:pPr>
    </w:p>
    <w:p w:rsidR="00585E3C" w:rsidRPr="00105725" w:rsidRDefault="00585E3C" w:rsidP="00105725">
      <w:pPr>
        <w:pStyle w:val="NormalWeb"/>
        <w:shd w:val="clear" w:color="auto" w:fill="FFFFFF"/>
        <w:spacing w:before="0" w:beforeAutospacing="0" w:after="0" w:afterAutospacing="0"/>
        <w:ind w:firstLine="709"/>
        <w:jc w:val="both"/>
        <w:rPr>
          <w:rFonts w:ascii="Verdana" w:hAnsi="Verdana" w:cs="Arial"/>
          <w:sz w:val="18"/>
          <w:szCs w:val="18"/>
        </w:rPr>
      </w:pPr>
      <w:r w:rsidRPr="00105725">
        <w:rPr>
          <w:rFonts w:ascii="Verdana" w:hAnsi="Verdana" w:cs="Arial"/>
          <w:sz w:val="18"/>
          <w:szCs w:val="18"/>
        </w:rPr>
        <w:t>Art. 1º Ficam publicadas, a título de consolidação, as seguintes Súmulas do Tribunal Administrativo Tributário vigentes na data desta Resolução:</w:t>
      </w:r>
    </w:p>
    <w:p w:rsidR="0058618E" w:rsidRPr="00D56FDA" w:rsidRDefault="0058618E" w:rsidP="004945EE">
      <w:pPr>
        <w:pStyle w:val="NormalWeb"/>
        <w:spacing w:before="0" w:beforeAutospacing="0" w:after="0" w:afterAutospacing="0"/>
        <w:rPr>
          <w:rFonts w:ascii="Verdana" w:hAnsi="Verdana"/>
          <w:sz w:val="18"/>
          <w:szCs w:val="18"/>
          <w:shd w:val="clear" w:color="auto" w:fill="FFFFFF"/>
        </w:rPr>
      </w:pPr>
    </w:p>
    <w:p w:rsidR="006E3DED" w:rsidRPr="00D56FDA" w:rsidRDefault="006E3DED" w:rsidP="007628E7">
      <w:pPr>
        <w:ind w:left="1134"/>
        <w:jc w:val="both"/>
        <w:rPr>
          <w:rFonts w:ascii="Verdana" w:eastAsiaTheme="minorHAnsi" w:hAnsi="Verdana" w:cstheme="minorBidi"/>
          <w:sz w:val="18"/>
          <w:szCs w:val="18"/>
          <w:lang w:eastAsia="en-US"/>
        </w:rPr>
      </w:pPr>
    </w:p>
    <w:p w:rsidR="008B5F9E" w:rsidRPr="00D56FDA" w:rsidRDefault="008B5F9E" w:rsidP="007628E7">
      <w:pPr>
        <w:ind w:left="1134"/>
        <w:jc w:val="both"/>
        <w:rPr>
          <w:rFonts w:ascii="Verdana" w:eastAsiaTheme="minorHAnsi" w:hAnsi="Verdana" w:cstheme="minorBidi"/>
          <w:sz w:val="18"/>
          <w:szCs w:val="18"/>
          <w:lang w:eastAsia="en-US"/>
        </w:rPr>
      </w:pPr>
      <w:r w:rsidRPr="00D56FDA">
        <w:rPr>
          <w:rFonts w:ascii="Verdana" w:eastAsiaTheme="minorHAnsi" w:hAnsi="Verdana" w:cstheme="minorBidi"/>
          <w:sz w:val="18"/>
          <w:szCs w:val="18"/>
          <w:lang w:eastAsia="en-US"/>
        </w:rPr>
        <w:t>1. A ausência de comprovação dos pressupostos legais autorizativos do arbitramento implica a improcedência da exigência fiscal.</w:t>
      </w:r>
    </w:p>
    <w:p w:rsidR="008B5F9E" w:rsidRPr="00D56FDA" w:rsidRDefault="008B5F9E" w:rsidP="007628E7">
      <w:pPr>
        <w:ind w:left="1134"/>
        <w:jc w:val="both"/>
        <w:rPr>
          <w:rFonts w:ascii="Verdana" w:eastAsiaTheme="minorHAnsi" w:hAnsi="Verdana" w:cstheme="minorBidi"/>
          <w:sz w:val="18"/>
          <w:szCs w:val="18"/>
          <w:lang w:eastAsia="en-US"/>
        </w:rPr>
      </w:pPr>
      <w:r w:rsidRPr="00D56FDA">
        <w:rPr>
          <w:rFonts w:ascii="Verdana" w:eastAsiaTheme="minorHAnsi" w:hAnsi="Verdana" w:cstheme="minorBidi"/>
          <w:sz w:val="18"/>
          <w:szCs w:val="18"/>
          <w:lang w:eastAsia="en-US"/>
        </w:rPr>
        <w:t>Referência:</w:t>
      </w:r>
    </w:p>
    <w:p w:rsidR="008B5F9E" w:rsidRPr="00D56FDA" w:rsidRDefault="008B5F9E" w:rsidP="007628E7">
      <w:pPr>
        <w:ind w:left="1134"/>
        <w:jc w:val="both"/>
        <w:rPr>
          <w:rFonts w:ascii="Verdana" w:eastAsiaTheme="minorHAnsi" w:hAnsi="Verdana" w:cstheme="minorBidi"/>
          <w:i/>
          <w:sz w:val="18"/>
          <w:szCs w:val="18"/>
          <w:lang w:eastAsia="en-US"/>
        </w:rPr>
      </w:pPr>
      <w:r w:rsidRPr="00D56FDA">
        <w:rPr>
          <w:rFonts w:ascii="Verdana" w:eastAsiaTheme="minorHAnsi" w:hAnsi="Verdana" w:cstheme="minorBidi"/>
          <w:sz w:val="18"/>
          <w:szCs w:val="18"/>
          <w:lang w:eastAsia="en-US"/>
        </w:rPr>
        <w:t xml:space="preserve">- </w:t>
      </w:r>
      <w:r w:rsidRPr="00D56FDA">
        <w:rPr>
          <w:rFonts w:ascii="Verdana" w:eastAsiaTheme="minorHAnsi" w:hAnsi="Verdana" w:cstheme="minorBidi"/>
          <w:i/>
          <w:sz w:val="18"/>
          <w:szCs w:val="18"/>
          <w:lang w:eastAsia="en-US"/>
        </w:rPr>
        <w:t>CTN – art. 148.</w:t>
      </w:r>
    </w:p>
    <w:p w:rsidR="008B5F9E" w:rsidRPr="00D56FDA" w:rsidRDefault="008B5F9E" w:rsidP="007628E7">
      <w:pPr>
        <w:ind w:left="1134"/>
        <w:jc w:val="both"/>
        <w:rPr>
          <w:rFonts w:ascii="Verdana" w:eastAsiaTheme="minorHAnsi" w:hAnsi="Verdana" w:cstheme="minorBidi"/>
          <w:i/>
          <w:sz w:val="18"/>
          <w:szCs w:val="18"/>
          <w:lang w:eastAsia="en-US"/>
        </w:rPr>
      </w:pPr>
      <w:r w:rsidRPr="00D56FDA">
        <w:rPr>
          <w:rFonts w:ascii="Verdana" w:eastAsiaTheme="minorHAnsi" w:hAnsi="Verdana" w:cstheme="minorBidi"/>
          <w:i/>
          <w:sz w:val="18"/>
          <w:szCs w:val="18"/>
          <w:lang w:eastAsia="en-US"/>
        </w:rPr>
        <w:t>- Lei n. 1.810/97 – art. 114.</w:t>
      </w:r>
    </w:p>
    <w:p w:rsidR="008B5F9E" w:rsidRPr="00D56FDA" w:rsidRDefault="008B5F9E" w:rsidP="007628E7">
      <w:pPr>
        <w:ind w:left="1134"/>
        <w:jc w:val="both"/>
        <w:rPr>
          <w:rFonts w:ascii="Verdana" w:eastAsiaTheme="minorHAnsi" w:hAnsi="Verdana" w:cstheme="minorBidi"/>
          <w:i/>
          <w:sz w:val="18"/>
          <w:szCs w:val="18"/>
          <w:lang w:eastAsia="en-US"/>
        </w:rPr>
      </w:pPr>
      <w:r w:rsidRPr="00D56FDA">
        <w:rPr>
          <w:rFonts w:ascii="Verdana" w:eastAsiaTheme="minorHAnsi" w:hAnsi="Verdana" w:cstheme="minorBidi"/>
          <w:i/>
          <w:sz w:val="18"/>
          <w:szCs w:val="18"/>
          <w:lang w:eastAsia="en-US"/>
        </w:rPr>
        <w:t>Acórdãos n. 114/02, 210/02, 322/02.</w:t>
      </w:r>
    </w:p>
    <w:p w:rsidR="000803A5" w:rsidRPr="00D56FDA" w:rsidRDefault="000803A5" w:rsidP="000803A5">
      <w:pPr>
        <w:pStyle w:val="NormalWeb"/>
        <w:shd w:val="clear" w:color="auto" w:fill="FFFFFF"/>
        <w:spacing w:before="0" w:beforeAutospacing="0" w:after="0" w:afterAutospacing="0"/>
        <w:ind w:left="1134"/>
        <w:rPr>
          <w:rFonts w:ascii="Verdana" w:hAnsi="Verdana"/>
          <w:sz w:val="18"/>
          <w:szCs w:val="18"/>
        </w:rPr>
      </w:pPr>
      <w:r w:rsidRPr="00D56FDA">
        <w:rPr>
          <w:rFonts w:ascii="Verdana" w:hAnsi="Verdana"/>
          <w:sz w:val="18"/>
          <w:szCs w:val="18"/>
        </w:rPr>
        <w:t xml:space="preserve">Consolidação </w:t>
      </w:r>
      <w:r w:rsidR="00585E3C" w:rsidRPr="00D56FDA">
        <w:rPr>
          <w:rFonts w:ascii="Verdana" w:hAnsi="Verdana"/>
          <w:sz w:val="18"/>
          <w:szCs w:val="18"/>
        </w:rPr>
        <w:t xml:space="preserve">anterior </w:t>
      </w:r>
      <w:r w:rsidRPr="00D56FDA">
        <w:rPr>
          <w:rFonts w:ascii="Verdana" w:hAnsi="Verdana"/>
          <w:sz w:val="18"/>
          <w:szCs w:val="18"/>
        </w:rPr>
        <w:t>publicada no DOE n. 9.283, de 9/11/2016, pág. 4-5</w:t>
      </w:r>
    </w:p>
    <w:p w:rsidR="000803A5" w:rsidRPr="00D56FDA" w:rsidRDefault="000803A5" w:rsidP="007628E7">
      <w:pPr>
        <w:ind w:left="1134"/>
        <w:jc w:val="both"/>
        <w:rPr>
          <w:rFonts w:ascii="Verdana" w:eastAsiaTheme="minorHAnsi" w:hAnsi="Verdana" w:cstheme="minorBidi"/>
          <w:i/>
          <w:sz w:val="18"/>
          <w:szCs w:val="18"/>
          <w:lang w:eastAsia="en-US"/>
        </w:rPr>
      </w:pPr>
    </w:p>
    <w:p w:rsidR="008B5F9E" w:rsidRPr="00D56FDA" w:rsidRDefault="008B5F9E" w:rsidP="007628E7">
      <w:pPr>
        <w:ind w:left="1134"/>
        <w:jc w:val="both"/>
        <w:rPr>
          <w:rFonts w:ascii="Verdana" w:eastAsiaTheme="minorHAnsi" w:hAnsi="Verdana" w:cstheme="minorBidi"/>
          <w:sz w:val="18"/>
          <w:szCs w:val="18"/>
          <w:lang w:eastAsia="en-US"/>
        </w:rPr>
      </w:pPr>
    </w:p>
    <w:p w:rsidR="008B5F9E" w:rsidRPr="00D56FDA" w:rsidRDefault="008B5F9E" w:rsidP="007628E7">
      <w:pPr>
        <w:ind w:left="1134"/>
        <w:jc w:val="both"/>
        <w:rPr>
          <w:rFonts w:ascii="Verdana" w:eastAsiaTheme="minorHAnsi" w:hAnsi="Verdana" w:cstheme="minorBidi"/>
          <w:sz w:val="18"/>
          <w:szCs w:val="18"/>
          <w:lang w:eastAsia="en-US"/>
        </w:rPr>
      </w:pPr>
      <w:r w:rsidRPr="00D56FDA">
        <w:rPr>
          <w:rFonts w:ascii="Verdana" w:eastAsiaTheme="minorHAnsi" w:hAnsi="Verdana" w:cstheme="minorBidi"/>
          <w:sz w:val="18"/>
          <w:szCs w:val="18"/>
          <w:lang w:eastAsia="en-US"/>
        </w:rPr>
        <w:t>2. Na ausência de prova inequívoca em contrário, os registros efetuados na Declaração Anual do Produtor Rural, que constitui documento de efeitos fiscais, refletem a realidade do movimento econômico do estabelecimento.</w:t>
      </w:r>
    </w:p>
    <w:p w:rsidR="008B5F9E" w:rsidRPr="00D56FDA" w:rsidRDefault="008B5F9E" w:rsidP="007628E7">
      <w:pPr>
        <w:ind w:left="1134"/>
        <w:jc w:val="both"/>
        <w:rPr>
          <w:rFonts w:ascii="Verdana" w:eastAsiaTheme="minorHAnsi" w:hAnsi="Verdana" w:cstheme="minorBidi"/>
          <w:sz w:val="18"/>
          <w:szCs w:val="18"/>
          <w:lang w:eastAsia="en-US"/>
        </w:rPr>
      </w:pPr>
      <w:r w:rsidRPr="00D56FDA">
        <w:rPr>
          <w:rFonts w:ascii="Verdana" w:eastAsiaTheme="minorHAnsi" w:hAnsi="Verdana" w:cstheme="minorBidi"/>
          <w:sz w:val="18"/>
          <w:szCs w:val="18"/>
          <w:lang w:eastAsia="en-US"/>
        </w:rPr>
        <w:t>Referência:</w:t>
      </w:r>
    </w:p>
    <w:p w:rsidR="008B5F9E" w:rsidRPr="00D56FDA" w:rsidRDefault="008B5F9E" w:rsidP="007628E7">
      <w:pPr>
        <w:ind w:left="1134"/>
        <w:jc w:val="both"/>
        <w:rPr>
          <w:rFonts w:ascii="Verdana" w:eastAsiaTheme="minorHAnsi" w:hAnsi="Verdana" w:cstheme="minorBidi"/>
          <w:i/>
          <w:sz w:val="18"/>
          <w:szCs w:val="18"/>
          <w:lang w:eastAsia="en-US"/>
        </w:rPr>
      </w:pPr>
      <w:r w:rsidRPr="00D56FDA">
        <w:rPr>
          <w:rFonts w:ascii="Verdana" w:eastAsiaTheme="minorHAnsi" w:hAnsi="Verdana" w:cstheme="minorBidi"/>
          <w:i/>
          <w:sz w:val="18"/>
          <w:szCs w:val="18"/>
          <w:lang w:eastAsia="en-US"/>
        </w:rPr>
        <w:t>Súmula 3 do CONREF.</w:t>
      </w:r>
    </w:p>
    <w:p w:rsidR="008B5F9E" w:rsidRPr="00D56FDA" w:rsidRDefault="008B5F9E" w:rsidP="007628E7">
      <w:pPr>
        <w:ind w:left="1134"/>
        <w:jc w:val="both"/>
        <w:rPr>
          <w:rFonts w:ascii="Verdana" w:eastAsiaTheme="minorHAnsi" w:hAnsi="Verdana" w:cstheme="minorBidi"/>
          <w:i/>
          <w:sz w:val="18"/>
          <w:szCs w:val="18"/>
          <w:lang w:eastAsia="en-US"/>
        </w:rPr>
      </w:pPr>
      <w:r w:rsidRPr="00D56FDA">
        <w:rPr>
          <w:rFonts w:ascii="Verdana" w:eastAsiaTheme="minorHAnsi" w:hAnsi="Verdana" w:cstheme="minorBidi"/>
          <w:i/>
          <w:sz w:val="18"/>
          <w:szCs w:val="18"/>
          <w:lang w:eastAsia="en-US"/>
        </w:rPr>
        <w:t>- CTN – art. 147.</w:t>
      </w:r>
    </w:p>
    <w:p w:rsidR="008B5F9E" w:rsidRPr="00D56FDA" w:rsidRDefault="008B5F9E" w:rsidP="007628E7">
      <w:pPr>
        <w:ind w:left="1134"/>
        <w:jc w:val="both"/>
        <w:rPr>
          <w:rFonts w:ascii="Verdana" w:eastAsiaTheme="minorHAnsi" w:hAnsi="Verdana" w:cstheme="minorBidi"/>
          <w:i/>
          <w:sz w:val="18"/>
          <w:szCs w:val="18"/>
          <w:lang w:eastAsia="en-US"/>
        </w:rPr>
      </w:pPr>
      <w:r w:rsidRPr="00D56FDA">
        <w:rPr>
          <w:rFonts w:ascii="Verdana" w:eastAsiaTheme="minorHAnsi" w:hAnsi="Verdana" w:cstheme="minorBidi"/>
          <w:i/>
          <w:sz w:val="18"/>
          <w:szCs w:val="18"/>
          <w:lang w:eastAsia="en-US"/>
        </w:rPr>
        <w:t>- Acórdãos n. 04/02, 13/02, 40/02, 184/02, 185/02, 198/02, 199/02, 13/03 e 40/03.</w:t>
      </w:r>
    </w:p>
    <w:p w:rsidR="000803A5" w:rsidRPr="00D56FDA" w:rsidRDefault="000803A5" w:rsidP="000803A5">
      <w:pPr>
        <w:pStyle w:val="NormalWeb"/>
        <w:shd w:val="clear" w:color="auto" w:fill="FFFFFF"/>
        <w:spacing w:before="0" w:beforeAutospacing="0" w:after="0" w:afterAutospacing="0"/>
        <w:ind w:left="1134"/>
        <w:rPr>
          <w:rFonts w:ascii="Verdana" w:hAnsi="Verdana"/>
          <w:sz w:val="18"/>
          <w:szCs w:val="18"/>
        </w:rPr>
      </w:pPr>
      <w:r w:rsidRPr="00D56FDA">
        <w:rPr>
          <w:rFonts w:ascii="Verdana" w:hAnsi="Verdana"/>
          <w:sz w:val="18"/>
          <w:szCs w:val="18"/>
        </w:rPr>
        <w:t>Consolidação</w:t>
      </w:r>
      <w:r w:rsidR="00585E3C" w:rsidRPr="00D56FDA">
        <w:rPr>
          <w:rFonts w:ascii="Verdana" w:hAnsi="Verdana"/>
          <w:sz w:val="18"/>
          <w:szCs w:val="18"/>
        </w:rPr>
        <w:t xml:space="preserve"> anterior </w:t>
      </w:r>
      <w:r w:rsidRPr="00D56FDA">
        <w:rPr>
          <w:rFonts w:ascii="Verdana" w:hAnsi="Verdana"/>
          <w:sz w:val="18"/>
          <w:szCs w:val="18"/>
        </w:rPr>
        <w:t>publicada no DOE n. 9.283, de 9/11/2016, pág. 4-5</w:t>
      </w:r>
    </w:p>
    <w:p w:rsidR="008B5F9E" w:rsidRPr="00D56FDA" w:rsidRDefault="008B5F9E" w:rsidP="007628E7">
      <w:pPr>
        <w:ind w:left="1134"/>
        <w:jc w:val="both"/>
        <w:rPr>
          <w:rFonts w:ascii="Verdana" w:eastAsiaTheme="minorHAnsi" w:hAnsi="Verdana" w:cstheme="minorBidi"/>
          <w:i/>
          <w:sz w:val="18"/>
          <w:szCs w:val="18"/>
          <w:lang w:eastAsia="en-US"/>
        </w:rPr>
      </w:pPr>
    </w:p>
    <w:p w:rsidR="00EC78F4" w:rsidRPr="00D56FDA" w:rsidRDefault="00EC78F4" w:rsidP="007628E7">
      <w:pPr>
        <w:ind w:left="1134"/>
        <w:jc w:val="both"/>
        <w:rPr>
          <w:rFonts w:ascii="Verdana" w:eastAsiaTheme="minorHAnsi" w:hAnsi="Verdana" w:cstheme="minorBidi"/>
          <w:i/>
          <w:sz w:val="18"/>
          <w:szCs w:val="18"/>
          <w:lang w:eastAsia="en-US"/>
        </w:rPr>
      </w:pPr>
    </w:p>
    <w:p w:rsidR="008B5F9E" w:rsidRPr="00D56FDA" w:rsidRDefault="008B5F9E" w:rsidP="007628E7">
      <w:pPr>
        <w:ind w:left="1134"/>
        <w:jc w:val="both"/>
        <w:rPr>
          <w:rFonts w:ascii="Verdana" w:eastAsiaTheme="minorHAnsi" w:hAnsi="Verdana" w:cstheme="minorBidi"/>
          <w:sz w:val="18"/>
          <w:szCs w:val="18"/>
          <w:lang w:eastAsia="en-US"/>
        </w:rPr>
      </w:pPr>
      <w:r w:rsidRPr="00D56FDA">
        <w:rPr>
          <w:rFonts w:ascii="Verdana" w:eastAsiaTheme="minorHAnsi" w:hAnsi="Verdana" w:cstheme="minorBidi"/>
          <w:sz w:val="18"/>
          <w:szCs w:val="18"/>
          <w:lang w:eastAsia="en-US"/>
        </w:rPr>
        <w:t>3. A retificação da Declaração Anual do Produtor Rural (DAP) após a ciência do início da ação fiscal não produz efeitos.</w:t>
      </w:r>
    </w:p>
    <w:p w:rsidR="008B5F9E" w:rsidRPr="00D56FDA" w:rsidRDefault="008B5F9E" w:rsidP="007628E7">
      <w:pPr>
        <w:ind w:left="1134"/>
        <w:jc w:val="both"/>
        <w:rPr>
          <w:rFonts w:ascii="Verdana" w:eastAsiaTheme="minorHAnsi" w:hAnsi="Verdana" w:cstheme="minorBidi"/>
          <w:sz w:val="18"/>
          <w:szCs w:val="18"/>
          <w:lang w:eastAsia="en-US"/>
        </w:rPr>
      </w:pPr>
      <w:r w:rsidRPr="00D56FDA">
        <w:rPr>
          <w:rFonts w:ascii="Verdana" w:eastAsiaTheme="minorHAnsi" w:hAnsi="Verdana" w:cstheme="minorBidi"/>
          <w:sz w:val="18"/>
          <w:szCs w:val="18"/>
          <w:lang w:eastAsia="en-US"/>
        </w:rPr>
        <w:t>Referência:</w:t>
      </w:r>
    </w:p>
    <w:p w:rsidR="008B5F9E" w:rsidRPr="00D56FDA" w:rsidRDefault="008B5F9E" w:rsidP="007628E7">
      <w:pPr>
        <w:ind w:left="1134"/>
        <w:jc w:val="both"/>
        <w:rPr>
          <w:rFonts w:ascii="Verdana" w:eastAsiaTheme="minorHAnsi" w:hAnsi="Verdana" w:cstheme="minorBidi"/>
          <w:i/>
          <w:sz w:val="18"/>
          <w:szCs w:val="18"/>
          <w:lang w:eastAsia="en-US"/>
        </w:rPr>
      </w:pPr>
      <w:r w:rsidRPr="00D56FDA">
        <w:rPr>
          <w:rFonts w:ascii="Verdana" w:eastAsiaTheme="minorHAnsi" w:hAnsi="Verdana" w:cstheme="minorBidi"/>
          <w:sz w:val="18"/>
          <w:szCs w:val="18"/>
          <w:lang w:eastAsia="en-US"/>
        </w:rPr>
        <w:t xml:space="preserve">- </w:t>
      </w:r>
      <w:r w:rsidRPr="00D56FDA">
        <w:rPr>
          <w:rFonts w:ascii="Verdana" w:eastAsiaTheme="minorHAnsi" w:hAnsi="Verdana" w:cstheme="minorBidi"/>
          <w:i/>
          <w:sz w:val="18"/>
          <w:szCs w:val="18"/>
          <w:lang w:eastAsia="en-US"/>
        </w:rPr>
        <w:t>CTN – art. 138.</w:t>
      </w:r>
    </w:p>
    <w:p w:rsidR="008B5F9E" w:rsidRPr="00D56FDA" w:rsidRDefault="008B5F9E" w:rsidP="007628E7">
      <w:pPr>
        <w:ind w:left="1134"/>
        <w:jc w:val="both"/>
        <w:rPr>
          <w:rFonts w:ascii="Verdana" w:eastAsiaTheme="minorHAnsi" w:hAnsi="Verdana" w:cstheme="minorBidi"/>
          <w:i/>
          <w:sz w:val="18"/>
          <w:szCs w:val="18"/>
          <w:lang w:eastAsia="en-US"/>
        </w:rPr>
      </w:pPr>
      <w:r w:rsidRPr="00D56FDA">
        <w:rPr>
          <w:rFonts w:ascii="Verdana" w:eastAsiaTheme="minorHAnsi" w:hAnsi="Verdana" w:cstheme="minorBidi"/>
          <w:i/>
          <w:sz w:val="18"/>
          <w:szCs w:val="18"/>
          <w:lang w:eastAsia="en-US"/>
        </w:rPr>
        <w:t>- Lei n. 2.315/2001 – art. 33, 133 e 134.</w:t>
      </w:r>
    </w:p>
    <w:p w:rsidR="008B5F9E" w:rsidRPr="00D56FDA" w:rsidRDefault="008B5F9E" w:rsidP="007628E7">
      <w:pPr>
        <w:ind w:left="1134"/>
        <w:jc w:val="both"/>
        <w:rPr>
          <w:rFonts w:ascii="Verdana" w:eastAsiaTheme="minorHAnsi" w:hAnsi="Verdana" w:cstheme="minorBidi"/>
          <w:i/>
          <w:sz w:val="18"/>
          <w:szCs w:val="18"/>
          <w:lang w:eastAsia="en-US"/>
        </w:rPr>
      </w:pPr>
      <w:r w:rsidRPr="00D56FDA">
        <w:rPr>
          <w:rFonts w:ascii="Verdana" w:eastAsiaTheme="minorHAnsi" w:hAnsi="Verdana" w:cstheme="minorBidi"/>
          <w:i/>
          <w:sz w:val="18"/>
          <w:szCs w:val="18"/>
          <w:lang w:eastAsia="en-US"/>
        </w:rPr>
        <w:t>- Acórdãos n. 15/02, 17/02, 41/02, 63/02, 202/02, 246/02, 41/03, 47/03, 48/03.</w:t>
      </w:r>
    </w:p>
    <w:p w:rsidR="000803A5" w:rsidRPr="00D56FDA" w:rsidRDefault="000803A5" w:rsidP="000803A5">
      <w:pPr>
        <w:pStyle w:val="NormalWeb"/>
        <w:shd w:val="clear" w:color="auto" w:fill="FFFFFF"/>
        <w:spacing w:before="0" w:beforeAutospacing="0" w:after="0" w:afterAutospacing="0"/>
        <w:ind w:left="1134"/>
        <w:rPr>
          <w:rFonts w:ascii="Verdana" w:hAnsi="Verdana"/>
          <w:sz w:val="18"/>
          <w:szCs w:val="18"/>
        </w:rPr>
      </w:pPr>
      <w:r w:rsidRPr="00D56FDA">
        <w:rPr>
          <w:rFonts w:ascii="Verdana" w:hAnsi="Verdana"/>
          <w:sz w:val="18"/>
          <w:szCs w:val="18"/>
        </w:rPr>
        <w:t xml:space="preserve">Consolidação </w:t>
      </w:r>
      <w:r w:rsidR="00585E3C" w:rsidRPr="00D56FDA">
        <w:rPr>
          <w:rFonts w:ascii="Verdana" w:hAnsi="Verdana"/>
          <w:sz w:val="18"/>
          <w:szCs w:val="18"/>
        </w:rPr>
        <w:t xml:space="preserve">anterior </w:t>
      </w:r>
      <w:r w:rsidRPr="00D56FDA">
        <w:rPr>
          <w:rFonts w:ascii="Verdana" w:hAnsi="Verdana"/>
          <w:sz w:val="18"/>
          <w:szCs w:val="18"/>
        </w:rPr>
        <w:t>publicada no DOE n. 9.283, de 9/11/2016, pág. 4-5</w:t>
      </w:r>
    </w:p>
    <w:p w:rsidR="000803A5" w:rsidRPr="00D56FDA" w:rsidRDefault="000803A5" w:rsidP="007628E7">
      <w:pPr>
        <w:ind w:left="1134"/>
        <w:jc w:val="both"/>
        <w:rPr>
          <w:rFonts w:ascii="Verdana" w:eastAsiaTheme="minorHAnsi" w:hAnsi="Verdana" w:cstheme="minorBidi"/>
          <w:i/>
          <w:sz w:val="18"/>
          <w:szCs w:val="18"/>
          <w:lang w:eastAsia="en-US"/>
        </w:rPr>
      </w:pPr>
    </w:p>
    <w:p w:rsidR="000803A5" w:rsidRPr="00D56FDA" w:rsidRDefault="000803A5" w:rsidP="007628E7">
      <w:pPr>
        <w:ind w:left="1134"/>
        <w:jc w:val="both"/>
        <w:rPr>
          <w:rFonts w:ascii="Verdana" w:eastAsiaTheme="minorHAnsi" w:hAnsi="Verdana" w:cstheme="minorBidi"/>
          <w:i/>
          <w:sz w:val="18"/>
          <w:szCs w:val="18"/>
          <w:lang w:eastAsia="en-US"/>
        </w:rPr>
      </w:pPr>
    </w:p>
    <w:p w:rsidR="008B5F9E" w:rsidRPr="00D56FDA" w:rsidRDefault="008B5F9E" w:rsidP="007628E7">
      <w:pPr>
        <w:ind w:left="1134"/>
        <w:jc w:val="both"/>
        <w:rPr>
          <w:rFonts w:ascii="Verdana" w:eastAsiaTheme="minorHAnsi" w:hAnsi="Verdana" w:cstheme="minorBidi"/>
          <w:sz w:val="18"/>
          <w:szCs w:val="18"/>
          <w:lang w:eastAsia="en-US"/>
        </w:rPr>
      </w:pPr>
      <w:r w:rsidRPr="00D56FDA">
        <w:rPr>
          <w:rFonts w:ascii="Verdana" w:eastAsiaTheme="minorHAnsi" w:hAnsi="Verdana" w:cstheme="minorBidi"/>
          <w:sz w:val="18"/>
          <w:szCs w:val="18"/>
          <w:lang w:eastAsia="en-US"/>
        </w:rPr>
        <w:t>4. A emissão de documento fiscal em decorrência da saída da mercadoria não tem efeito de denúncia espontânea quanto a sua entrada.</w:t>
      </w:r>
    </w:p>
    <w:p w:rsidR="008B5F9E" w:rsidRPr="00D56FDA" w:rsidRDefault="008B5F9E" w:rsidP="007628E7">
      <w:pPr>
        <w:ind w:left="1134"/>
        <w:jc w:val="both"/>
        <w:rPr>
          <w:rFonts w:ascii="Verdana" w:eastAsiaTheme="minorHAnsi" w:hAnsi="Verdana" w:cstheme="minorBidi"/>
          <w:sz w:val="18"/>
          <w:szCs w:val="18"/>
          <w:lang w:eastAsia="en-US"/>
        </w:rPr>
      </w:pPr>
      <w:r w:rsidRPr="00D56FDA">
        <w:rPr>
          <w:rFonts w:ascii="Verdana" w:eastAsiaTheme="minorHAnsi" w:hAnsi="Verdana" w:cstheme="minorBidi"/>
          <w:sz w:val="18"/>
          <w:szCs w:val="18"/>
          <w:lang w:eastAsia="en-US"/>
        </w:rPr>
        <w:t>Referência:</w:t>
      </w:r>
    </w:p>
    <w:p w:rsidR="008B5F9E" w:rsidRPr="00D56FDA" w:rsidRDefault="008B5F9E" w:rsidP="007628E7">
      <w:pPr>
        <w:ind w:left="1134"/>
        <w:jc w:val="both"/>
        <w:rPr>
          <w:rFonts w:ascii="Verdana" w:eastAsiaTheme="minorHAnsi" w:hAnsi="Verdana" w:cstheme="minorBidi"/>
          <w:i/>
          <w:sz w:val="18"/>
          <w:szCs w:val="18"/>
          <w:lang w:eastAsia="en-US"/>
        </w:rPr>
      </w:pPr>
      <w:r w:rsidRPr="00D56FDA">
        <w:rPr>
          <w:rFonts w:ascii="Verdana" w:eastAsiaTheme="minorHAnsi" w:hAnsi="Verdana" w:cstheme="minorBidi"/>
          <w:i/>
          <w:sz w:val="18"/>
          <w:szCs w:val="18"/>
          <w:lang w:eastAsia="en-US"/>
        </w:rPr>
        <w:t>- CTN – art. 138.</w:t>
      </w:r>
    </w:p>
    <w:p w:rsidR="008B5F9E" w:rsidRPr="00D56FDA" w:rsidRDefault="008B5F9E" w:rsidP="007628E7">
      <w:pPr>
        <w:ind w:left="1134"/>
        <w:jc w:val="both"/>
        <w:rPr>
          <w:rFonts w:ascii="Verdana" w:eastAsiaTheme="minorHAnsi" w:hAnsi="Verdana" w:cstheme="minorBidi"/>
          <w:i/>
          <w:sz w:val="18"/>
          <w:szCs w:val="18"/>
          <w:lang w:eastAsia="en-US"/>
        </w:rPr>
      </w:pPr>
      <w:r w:rsidRPr="00D56FDA">
        <w:rPr>
          <w:rFonts w:ascii="Verdana" w:eastAsiaTheme="minorHAnsi" w:hAnsi="Verdana" w:cstheme="minorBidi"/>
          <w:i/>
          <w:sz w:val="18"/>
          <w:szCs w:val="18"/>
          <w:lang w:eastAsia="en-US"/>
        </w:rPr>
        <w:t>- Lei n. 2.315/2001 – art. 33, 133 e 134.</w:t>
      </w:r>
    </w:p>
    <w:p w:rsidR="008B5F9E" w:rsidRPr="00D56FDA" w:rsidRDefault="008B5F9E" w:rsidP="007628E7">
      <w:pPr>
        <w:ind w:left="1134"/>
        <w:jc w:val="both"/>
        <w:rPr>
          <w:rFonts w:ascii="Verdana" w:eastAsiaTheme="minorHAnsi" w:hAnsi="Verdana" w:cstheme="minorBidi"/>
          <w:i/>
          <w:sz w:val="18"/>
          <w:szCs w:val="18"/>
          <w:lang w:eastAsia="en-US"/>
        </w:rPr>
      </w:pPr>
      <w:r w:rsidRPr="00D56FDA">
        <w:rPr>
          <w:rFonts w:ascii="Verdana" w:eastAsiaTheme="minorHAnsi" w:hAnsi="Verdana" w:cstheme="minorBidi"/>
          <w:i/>
          <w:sz w:val="18"/>
          <w:szCs w:val="18"/>
          <w:lang w:eastAsia="en-US"/>
        </w:rPr>
        <w:t>- Acórdãos n. 198/02, 270/02, 13/03.</w:t>
      </w:r>
    </w:p>
    <w:p w:rsidR="000803A5" w:rsidRPr="00D56FDA" w:rsidRDefault="000803A5" w:rsidP="000803A5">
      <w:pPr>
        <w:pStyle w:val="NormalWeb"/>
        <w:shd w:val="clear" w:color="auto" w:fill="FFFFFF"/>
        <w:spacing w:before="0" w:beforeAutospacing="0" w:after="0" w:afterAutospacing="0"/>
        <w:ind w:left="1134"/>
        <w:rPr>
          <w:rFonts w:ascii="Verdana" w:hAnsi="Verdana"/>
          <w:sz w:val="18"/>
          <w:szCs w:val="18"/>
        </w:rPr>
      </w:pPr>
      <w:r w:rsidRPr="00D56FDA">
        <w:rPr>
          <w:rFonts w:ascii="Verdana" w:hAnsi="Verdana"/>
          <w:sz w:val="18"/>
          <w:szCs w:val="18"/>
        </w:rPr>
        <w:t>Consolidação</w:t>
      </w:r>
      <w:r w:rsidR="00585E3C" w:rsidRPr="00D56FDA">
        <w:rPr>
          <w:rFonts w:ascii="Verdana" w:hAnsi="Verdana"/>
          <w:sz w:val="18"/>
          <w:szCs w:val="18"/>
        </w:rPr>
        <w:t xml:space="preserve"> anterior </w:t>
      </w:r>
      <w:r w:rsidRPr="00D56FDA">
        <w:rPr>
          <w:rFonts w:ascii="Verdana" w:hAnsi="Verdana"/>
          <w:sz w:val="18"/>
          <w:szCs w:val="18"/>
        </w:rPr>
        <w:t>publicada no DOE n. 9.283, de 9/11/2016, pág. 4-5</w:t>
      </w:r>
    </w:p>
    <w:p w:rsidR="000803A5" w:rsidRPr="00D56FDA" w:rsidRDefault="000803A5" w:rsidP="007628E7">
      <w:pPr>
        <w:ind w:left="1134"/>
        <w:jc w:val="both"/>
        <w:rPr>
          <w:rFonts w:ascii="Verdana" w:eastAsiaTheme="minorHAnsi" w:hAnsi="Verdana" w:cstheme="minorBidi"/>
          <w:i/>
          <w:sz w:val="18"/>
          <w:szCs w:val="18"/>
          <w:lang w:eastAsia="en-US"/>
        </w:rPr>
      </w:pPr>
    </w:p>
    <w:p w:rsidR="008B5F9E" w:rsidRPr="00D56FDA" w:rsidRDefault="008B5F9E" w:rsidP="007628E7">
      <w:pPr>
        <w:ind w:left="1134"/>
        <w:jc w:val="both"/>
        <w:rPr>
          <w:rFonts w:ascii="Verdana" w:eastAsiaTheme="minorHAnsi" w:hAnsi="Verdana" w:cstheme="minorBidi"/>
          <w:sz w:val="18"/>
          <w:szCs w:val="18"/>
          <w:lang w:eastAsia="en-US"/>
        </w:rPr>
      </w:pPr>
    </w:p>
    <w:p w:rsidR="005C4E28" w:rsidRPr="00D56FDA" w:rsidRDefault="008B5F9E" w:rsidP="007628E7">
      <w:pPr>
        <w:ind w:left="1134"/>
        <w:jc w:val="both"/>
        <w:textAlignment w:val="baseline"/>
        <w:rPr>
          <w:rFonts w:ascii="Verdana" w:hAnsi="Verdana" w:cs="Arial"/>
          <w:sz w:val="18"/>
          <w:szCs w:val="18"/>
        </w:rPr>
      </w:pPr>
      <w:r w:rsidRPr="00D56FDA">
        <w:rPr>
          <w:rFonts w:ascii="Verdana" w:eastAsiaTheme="minorHAnsi" w:hAnsi="Verdana" w:cstheme="minorBidi"/>
          <w:sz w:val="18"/>
          <w:szCs w:val="18"/>
          <w:lang w:eastAsia="en-US"/>
        </w:rPr>
        <w:t>5. REVOGADA</w:t>
      </w:r>
    </w:p>
    <w:p w:rsidR="005C4E28" w:rsidRPr="00D56FDA" w:rsidRDefault="005C4E28" w:rsidP="000F5806">
      <w:pPr>
        <w:pStyle w:val="NormalWeb"/>
        <w:shd w:val="clear" w:color="auto" w:fill="FFFFFF"/>
        <w:spacing w:before="0" w:beforeAutospacing="0" w:after="0" w:afterAutospacing="0"/>
        <w:ind w:left="1134"/>
        <w:jc w:val="both"/>
        <w:rPr>
          <w:rFonts w:ascii="Verdana" w:hAnsi="Verdana"/>
          <w:sz w:val="18"/>
          <w:szCs w:val="18"/>
        </w:rPr>
      </w:pPr>
      <w:r w:rsidRPr="00D56FDA">
        <w:rPr>
          <w:rFonts w:ascii="Verdana" w:hAnsi="Verdana"/>
          <w:sz w:val="18"/>
          <w:szCs w:val="18"/>
        </w:rPr>
        <w:lastRenderedPageBreak/>
        <w:t xml:space="preserve">Revogada pela Resolução TAT </w:t>
      </w:r>
      <w:r w:rsidR="002D4BCD" w:rsidRPr="00D56FDA">
        <w:rPr>
          <w:rFonts w:ascii="Verdana" w:hAnsi="Verdana"/>
          <w:sz w:val="18"/>
          <w:szCs w:val="18"/>
        </w:rPr>
        <w:t>n.</w:t>
      </w:r>
      <w:r w:rsidRPr="00D56FDA">
        <w:rPr>
          <w:rFonts w:ascii="Verdana" w:hAnsi="Verdana"/>
          <w:sz w:val="18"/>
          <w:szCs w:val="18"/>
        </w:rPr>
        <w:t>7/2022, publicada no DOE n. 10.929, de 2/9/2022, f. 5-7.</w:t>
      </w:r>
    </w:p>
    <w:p w:rsidR="008B5F9E" w:rsidRPr="00D56FDA" w:rsidRDefault="008B5F9E" w:rsidP="007628E7">
      <w:pPr>
        <w:ind w:left="1134"/>
        <w:jc w:val="both"/>
        <w:textAlignment w:val="baseline"/>
        <w:rPr>
          <w:rFonts w:ascii="Verdana" w:hAnsi="Verdana" w:cs="Arial"/>
          <w:sz w:val="18"/>
          <w:szCs w:val="18"/>
        </w:rPr>
      </w:pPr>
    </w:p>
    <w:p w:rsidR="008B5F9E" w:rsidRPr="00D56FDA" w:rsidRDefault="008B5F9E" w:rsidP="007628E7">
      <w:pPr>
        <w:ind w:left="1134"/>
        <w:jc w:val="both"/>
        <w:rPr>
          <w:rFonts w:ascii="Verdana" w:eastAsiaTheme="minorHAnsi" w:hAnsi="Verdana" w:cstheme="minorBidi"/>
          <w:sz w:val="18"/>
          <w:szCs w:val="18"/>
          <w:lang w:eastAsia="en-US"/>
        </w:rPr>
      </w:pPr>
    </w:p>
    <w:p w:rsidR="008B5F9E" w:rsidRPr="00D56FDA" w:rsidRDefault="008B5F9E" w:rsidP="000F5806">
      <w:pPr>
        <w:ind w:left="1134"/>
        <w:rPr>
          <w:rFonts w:ascii="Verdana" w:eastAsiaTheme="minorHAnsi" w:hAnsi="Verdana" w:cstheme="minorBidi"/>
          <w:sz w:val="18"/>
          <w:szCs w:val="18"/>
          <w:lang w:eastAsia="en-US"/>
        </w:rPr>
      </w:pPr>
      <w:r w:rsidRPr="00D56FDA">
        <w:rPr>
          <w:rFonts w:ascii="Verdana" w:eastAsiaTheme="minorHAnsi" w:hAnsi="Verdana" w:cstheme="minorBidi"/>
          <w:sz w:val="18"/>
          <w:szCs w:val="18"/>
          <w:lang w:eastAsia="en-US"/>
        </w:rPr>
        <w:t xml:space="preserve">6. REVOGADA </w:t>
      </w:r>
    </w:p>
    <w:p w:rsidR="008B5F9E" w:rsidRPr="00D56FDA" w:rsidRDefault="008B5F9E" w:rsidP="000F5806">
      <w:pPr>
        <w:pStyle w:val="NormalWeb"/>
        <w:shd w:val="clear" w:color="auto" w:fill="FFFFFF"/>
        <w:spacing w:before="0" w:beforeAutospacing="0" w:after="0" w:afterAutospacing="0"/>
        <w:ind w:left="1134"/>
        <w:jc w:val="both"/>
        <w:rPr>
          <w:rFonts w:ascii="Verdana" w:hAnsi="Verdana"/>
          <w:sz w:val="18"/>
          <w:szCs w:val="18"/>
        </w:rPr>
      </w:pPr>
      <w:r w:rsidRPr="00D56FDA">
        <w:rPr>
          <w:rFonts w:ascii="Verdana" w:hAnsi="Verdana"/>
          <w:sz w:val="18"/>
          <w:szCs w:val="18"/>
        </w:rPr>
        <w:t>Revogada pela Resolução/TAT/MS n. 6/2022, publicada no DOE n. 10.842, de 26/5/2022, pág. 8</w:t>
      </w:r>
    </w:p>
    <w:p w:rsidR="008B5F9E" w:rsidRPr="00D56FDA" w:rsidRDefault="008B5F9E" w:rsidP="007628E7">
      <w:pPr>
        <w:ind w:left="1134"/>
        <w:jc w:val="both"/>
        <w:rPr>
          <w:rFonts w:ascii="Verdana" w:eastAsiaTheme="minorHAnsi" w:hAnsi="Verdana" w:cstheme="minorBidi"/>
          <w:sz w:val="18"/>
          <w:szCs w:val="18"/>
          <w:lang w:eastAsia="en-US"/>
        </w:rPr>
      </w:pPr>
    </w:p>
    <w:p w:rsidR="00EC78F4" w:rsidRPr="00D56FDA" w:rsidRDefault="00EC78F4" w:rsidP="007628E7">
      <w:pPr>
        <w:ind w:left="1134"/>
        <w:jc w:val="both"/>
        <w:rPr>
          <w:rFonts w:ascii="Verdana" w:eastAsiaTheme="minorHAnsi" w:hAnsi="Verdana" w:cstheme="minorBidi"/>
          <w:sz w:val="18"/>
          <w:szCs w:val="18"/>
          <w:lang w:eastAsia="en-US"/>
        </w:rPr>
      </w:pPr>
    </w:p>
    <w:p w:rsidR="008B5F9E" w:rsidRPr="00D56FDA" w:rsidRDefault="008B5F9E" w:rsidP="007628E7">
      <w:pPr>
        <w:ind w:left="1134"/>
        <w:jc w:val="both"/>
        <w:rPr>
          <w:rFonts w:ascii="Verdana" w:eastAsiaTheme="minorHAnsi" w:hAnsi="Verdana" w:cstheme="minorBidi"/>
          <w:sz w:val="18"/>
          <w:szCs w:val="18"/>
          <w:lang w:eastAsia="en-US"/>
        </w:rPr>
      </w:pPr>
      <w:r w:rsidRPr="00D56FDA">
        <w:rPr>
          <w:rFonts w:ascii="Verdana" w:eastAsiaTheme="minorHAnsi" w:hAnsi="Verdana" w:cstheme="minorBidi"/>
          <w:sz w:val="18"/>
          <w:szCs w:val="18"/>
          <w:lang w:eastAsia="en-US"/>
        </w:rPr>
        <w:t>7. O Tribunal Administrativo Tributário (TAT) não tem competência para apreciação de inconstitucionalidade ou de ilegalidade de normas em hipóteses não contempladas pelo art. 102 da Lei n. 2.315/2001.</w:t>
      </w:r>
    </w:p>
    <w:p w:rsidR="008B5F9E" w:rsidRPr="00D56FDA" w:rsidRDefault="008B5F9E" w:rsidP="007628E7">
      <w:pPr>
        <w:ind w:left="1134"/>
        <w:jc w:val="both"/>
        <w:rPr>
          <w:rFonts w:ascii="Verdana" w:eastAsiaTheme="minorHAnsi" w:hAnsi="Verdana" w:cstheme="minorBidi"/>
          <w:sz w:val="18"/>
          <w:szCs w:val="18"/>
          <w:lang w:eastAsia="en-US"/>
        </w:rPr>
      </w:pPr>
      <w:r w:rsidRPr="00D56FDA">
        <w:rPr>
          <w:rFonts w:ascii="Verdana" w:eastAsiaTheme="minorHAnsi" w:hAnsi="Verdana" w:cstheme="minorBidi"/>
          <w:sz w:val="18"/>
          <w:szCs w:val="18"/>
          <w:lang w:eastAsia="en-US"/>
        </w:rPr>
        <w:t>Referência:</w:t>
      </w:r>
    </w:p>
    <w:p w:rsidR="008B5F9E" w:rsidRPr="00D56FDA" w:rsidRDefault="008B5F9E" w:rsidP="007628E7">
      <w:pPr>
        <w:ind w:left="1134"/>
        <w:jc w:val="both"/>
        <w:rPr>
          <w:rFonts w:ascii="Verdana" w:eastAsiaTheme="minorHAnsi" w:hAnsi="Verdana" w:cstheme="minorBidi"/>
          <w:sz w:val="18"/>
          <w:szCs w:val="18"/>
          <w:lang w:eastAsia="en-US"/>
        </w:rPr>
      </w:pPr>
      <w:r w:rsidRPr="00D56FDA">
        <w:rPr>
          <w:rFonts w:ascii="Verdana" w:eastAsiaTheme="minorHAnsi" w:hAnsi="Verdana" w:cstheme="minorBidi"/>
          <w:sz w:val="18"/>
          <w:szCs w:val="18"/>
          <w:lang w:eastAsia="en-US"/>
        </w:rPr>
        <w:t>Acórdãos n. 14/2007, 20/2007, 47/2007, 54/2007, 77/2007, 199/2008, 250/2008, 257/2008, 17/2009, 20/2009, 24/2009, 46/2009, 51/2009, 106/2009, 152/2009, 13/2010.</w:t>
      </w:r>
    </w:p>
    <w:p w:rsidR="000803A5" w:rsidRPr="00D56FDA" w:rsidRDefault="000803A5" w:rsidP="000803A5">
      <w:pPr>
        <w:pStyle w:val="NormalWeb"/>
        <w:shd w:val="clear" w:color="auto" w:fill="FFFFFF"/>
        <w:spacing w:before="0" w:beforeAutospacing="0" w:after="0" w:afterAutospacing="0"/>
        <w:ind w:left="1134"/>
        <w:rPr>
          <w:rFonts w:ascii="Verdana" w:hAnsi="Verdana"/>
          <w:sz w:val="18"/>
          <w:szCs w:val="18"/>
        </w:rPr>
      </w:pPr>
      <w:r w:rsidRPr="00D56FDA">
        <w:rPr>
          <w:rFonts w:ascii="Verdana" w:hAnsi="Verdana"/>
          <w:sz w:val="18"/>
          <w:szCs w:val="18"/>
        </w:rPr>
        <w:t xml:space="preserve">Consolidação </w:t>
      </w:r>
      <w:r w:rsidR="00585E3C" w:rsidRPr="00D56FDA">
        <w:rPr>
          <w:rFonts w:ascii="Verdana" w:hAnsi="Verdana"/>
          <w:sz w:val="18"/>
          <w:szCs w:val="18"/>
        </w:rPr>
        <w:t xml:space="preserve">anterior </w:t>
      </w:r>
      <w:r w:rsidRPr="00D56FDA">
        <w:rPr>
          <w:rFonts w:ascii="Verdana" w:hAnsi="Verdana"/>
          <w:sz w:val="18"/>
          <w:szCs w:val="18"/>
        </w:rPr>
        <w:t>publicada no DOE n. 9.283, de 9/11/2016, pág. 4-5</w:t>
      </w:r>
    </w:p>
    <w:p w:rsidR="000803A5" w:rsidRPr="00D56FDA" w:rsidRDefault="000803A5" w:rsidP="007628E7">
      <w:pPr>
        <w:ind w:left="1134"/>
        <w:jc w:val="both"/>
        <w:rPr>
          <w:rFonts w:ascii="Verdana" w:eastAsiaTheme="minorHAnsi" w:hAnsi="Verdana" w:cstheme="minorBidi"/>
          <w:sz w:val="18"/>
          <w:szCs w:val="18"/>
          <w:lang w:eastAsia="en-US"/>
        </w:rPr>
      </w:pPr>
    </w:p>
    <w:p w:rsidR="008B5F9E" w:rsidRPr="00D56FDA" w:rsidRDefault="008B5F9E" w:rsidP="007628E7">
      <w:pPr>
        <w:ind w:left="1134"/>
        <w:jc w:val="both"/>
        <w:rPr>
          <w:rFonts w:ascii="Verdana" w:eastAsiaTheme="minorHAnsi" w:hAnsi="Verdana" w:cstheme="minorBidi"/>
          <w:sz w:val="18"/>
          <w:szCs w:val="18"/>
          <w:lang w:eastAsia="en-US"/>
        </w:rPr>
      </w:pPr>
    </w:p>
    <w:p w:rsidR="008B5F9E" w:rsidRPr="00D56FDA" w:rsidRDefault="008B5F9E" w:rsidP="007628E7">
      <w:pPr>
        <w:ind w:left="1134"/>
        <w:jc w:val="both"/>
        <w:rPr>
          <w:rFonts w:ascii="Verdana" w:eastAsiaTheme="minorHAnsi" w:hAnsi="Verdana" w:cstheme="minorBidi"/>
          <w:sz w:val="18"/>
          <w:szCs w:val="18"/>
          <w:lang w:eastAsia="en-US"/>
        </w:rPr>
      </w:pPr>
      <w:r w:rsidRPr="00D56FDA">
        <w:rPr>
          <w:rFonts w:ascii="Verdana" w:eastAsiaTheme="minorHAnsi" w:hAnsi="Verdana" w:cstheme="minorBidi"/>
          <w:sz w:val="18"/>
          <w:szCs w:val="18"/>
          <w:lang w:eastAsia="en-US"/>
        </w:rPr>
        <w:t xml:space="preserve">8. REVOGADA </w:t>
      </w:r>
    </w:p>
    <w:p w:rsidR="002D4BCD" w:rsidRPr="00D56FDA" w:rsidRDefault="002D4BCD" w:rsidP="000F5806">
      <w:pPr>
        <w:pStyle w:val="NormalWeb"/>
        <w:shd w:val="clear" w:color="auto" w:fill="FFFFFF"/>
        <w:spacing w:before="0" w:beforeAutospacing="0" w:after="0" w:afterAutospacing="0"/>
        <w:ind w:left="1134"/>
        <w:jc w:val="both"/>
        <w:rPr>
          <w:rFonts w:ascii="Verdana" w:hAnsi="Verdana"/>
          <w:sz w:val="18"/>
          <w:szCs w:val="18"/>
        </w:rPr>
      </w:pPr>
      <w:r w:rsidRPr="00D56FDA">
        <w:rPr>
          <w:rFonts w:ascii="Verdana" w:hAnsi="Verdana"/>
          <w:sz w:val="18"/>
          <w:szCs w:val="18"/>
        </w:rPr>
        <w:t>Revogada pela Resolução TAT n. 7/2022, publicada no DOE n. 10.929, de 2/9/2022, f. 5-7.</w:t>
      </w:r>
    </w:p>
    <w:p w:rsidR="007628E7" w:rsidRPr="00D56FDA" w:rsidRDefault="007628E7" w:rsidP="007628E7">
      <w:pPr>
        <w:ind w:left="1134"/>
        <w:jc w:val="both"/>
        <w:rPr>
          <w:rFonts w:ascii="Verdana" w:eastAsiaTheme="minorHAnsi" w:hAnsi="Verdana" w:cstheme="minorBidi"/>
          <w:sz w:val="18"/>
          <w:szCs w:val="18"/>
          <w:lang w:eastAsia="en-US"/>
        </w:rPr>
      </w:pPr>
    </w:p>
    <w:p w:rsidR="00C7020C" w:rsidRPr="00D56FDA" w:rsidRDefault="00C7020C" w:rsidP="007628E7">
      <w:pPr>
        <w:ind w:left="1134"/>
        <w:jc w:val="both"/>
        <w:rPr>
          <w:rFonts w:ascii="Verdana" w:eastAsiaTheme="minorHAnsi" w:hAnsi="Verdana" w:cstheme="minorBidi"/>
          <w:sz w:val="18"/>
          <w:szCs w:val="18"/>
          <w:lang w:eastAsia="en-US"/>
        </w:rPr>
      </w:pPr>
    </w:p>
    <w:p w:rsidR="008B5F9E" w:rsidRPr="00D56FDA" w:rsidRDefault="008B5F9E" w:rsidP="007628E7">
      <w:pPr>
        <w:ind w:left="1134"/>
        <w:jc w:val="both"/>
        <w:rPr>
          <w:rFonts w:ascii="Verdana" w:eastAsiaTheme="minorHAnsi" w:hAnsi="Verdana" w:cstheme="minorBidi"/>
          <w:sz w:val="18"/>
          <w:szCs w:val="18"/>
          <w:lang w:eastAsia="en-US"/>
        </w:rPr>
      </w:pPr>
      <w:r w:rsidRPr="00D56FDA">
        <w:rPr>
          <w:rFonts w:ascii="Verdana" w:eastAsiaTheme="minorHAnsi" w:hAnsi="Verdana" w:cstheme="minorBidi"/>
          <w:sz w:val="18"/>
          <w:szCs w:val="18"/>
          <w:lang w:eastAsia="en-US"/>
        </w:rPr>
        <w:t xml:space="preserve">9. REVOGADA </w:t>
      </w:r>
    </w:p>
    <w:p w:rsidR="008B5F9E" w:rsidRPr="00D56FDA" w:rsidRDefault="008B5F9E" w:rsidP="000F5806">
      <w:pPr>
        <w:pStyle w:val="NormalWeb"/>
        <w:shd w:val="clear" w:color="auto" w:fill="FFFFFF"/>
        <w:spacing w:before="0" w:beforeAutospacing="0" w:after="0" w:afterAutospacing="0"/>
        <w:ind w:left="1134"/>
        <w:jc w:val="both"/>
        <w:rPr>
          <w:rFonts w:ascii="Verdana" w:hAnsi="Verdana"/>
          <w:sz w:val="18"/>
          <w:szCs w:val="18"/>
        </w:rPr>
      </w:pPr>
      <w:r w:rsidRPr="00D56FDA">
        <w:rPr>
          <w:rFonts w:ascii="Verdana" w:hAnsi="Verdana"/>
          <w:sz w:val="18"/>
          <w:szCs w:val="18"/>
        </w:rPr>
        <w:t>Revogada pela Resolução/TAT/MS n. 6/2022, publicada no DOE n. 10.842, de 26/5/2022, pág. 8</w:t>
      </w:r>
    </w:p>
    <w:p w:rsidR="007628E7" w:rsidRPr="00D56FDA" w:rsidRDefault="007628E7" w:rsidP="007628E7">
      <w:pPr>
        <w:ind w:left="1134"/>
        <w:jc w:val="both"/>
        <w:rPr>
          <w:rFonts w:ascii="Verdana" w:eastAsiaTheme="minorHAnsi" w:hAnsi="Verdana" w:cstheme="minorBidi"/>
          <w:sz w:val="18"/>
          <w:szCs w:val="18"/>
          <w:lang w:eastAsia="en-US"/>
        </w:rPr>
      </w:pPr>
    </w:p>
    <w:p w:rsidR="00EC78F4" w:rsidRPr="00D56FDA" w:rsidRDefault="00EC78F4" w:rsidP="007628E7">
      <w:pPr>
        <w:ind w:left="1134"/>
        <w:jc w:val="both"/>
        <w:rPr>
          <w:rFonts w:ascii="Verdana" w:eastAsiaTheme="minorHAnsi" w:hAnsi="Verdana" w:cstheme="minorBidi"/>
          <w:sz w:val="18"/>
          <w:szCs w:val="18"/>
          <w:lang w:eastAsia="en-US"/>
        </w:rPr>
      </w:pPr>
    </w:p>
    <w:p w:rsidR="008B5F9E" w:rsidRPr="00D56FDA" w:rsidRDefault="008B5F9E" w:rsidP="007628E7">
      <w:pPr>
        <w:ind w:left="1134"/>
        <w:jc w:val="both"/>
        <w:rPr>
          <w:rFonts w:ascii="Verdana" w:eastAsiaTheme="minorHAnsi" w:hAnsi="Verdana" w:cstheme="minorBidi"/>
          <w:sz w:val="18"/>
          <w:szCs w:val="18"/>
          <w:lang w:eastAsia="en-US"/>
        </w:rPr>
      </w:pPr>
      <w:r w:rsidRPr="00D56FDA">
        <w:rPr>
          <w:rFonts w:ascii="Verdana" w:eastAsiaTheme="minorHAnsi" w:hAnsi="Verdana" w:cstheme="minorBidi"/>
          <w:sz w:val="18"/>
          <w:szCs w:val="18"/>
          <w:lang w:eastAsia="en-US"/>
        </w:rPr>
        <w:t>10. Em se tratando de multa pelo descumprimento de dever instrumental, o prazo para a constituição do respectivo crédito tributário é o previsto no art. 173, I, do CTN.</w:t>
      </w:r>
    </w:p>
    <w:p w:rsidR="008B5F9E" w:rsidRPr="00D56FDA" w:rsidRDefault="008B5F9E" w:rsidP="007628E7">
      <w:pPr>
        <w:ind w:left="1134"/>
        <w:jc w:val="both"/>
        <w:rPr>
          <w:rFonts w:ascii="Verdana" w:eastAsiaTheme="minorHAnsi" w:hAnsi="Verdana" w:cstheme="minorBidi"/>
          <w:sz w:val="18"/>
          <w:szCs w:val="18"/>
          <w:lang w:eastAsia="en-US"/>
        </w:rPr>
      </w:pPr>
      <w:r w:rsidRPr="00D56FDA">
        <w:rPr>
          <w:rFonts w:ascii="Verdana" w:eastAsiaTheme="minorHAnsi" w:hAnsi="Verdana" w:cstheme="minorBidi"/>
          <w:sz w:val="18"/>
          <w:szCs w:val="18"/>
          <w:lang w:eastAsia="en-US"/>
        </w:rPr>
        <w:t>Referência:</w:t>
      </w:r>
    </w:p>
    <w:p w:rsidR="008B5F9E" w:rsidRPr="00D56FDA" w:rsidRDefault="008B5F9E" w:rsidP="007628E7">
      <w:pPr>
        <w:ind w:left="1134"/>
        <w:jc w:val="both"/>
        <w:rPr>
          <w:rFonts w:ascii="Verdana" w:eastAsiaTheme="minorHAnsi" w:hAnsi="Verdana" w:cstheme="minorBidi"/>
          <w:i/>
          <w:sz w:val="18"/>
          <w:szCs w:val="18"/>
          <w:lang w:eastAsia="en-US"/>
        </w:rPr>
      </w:pPr>
      <w:r w:rsidRPr="00D56FDA">
        <w:rPr>
          <w:rFonts w:ascii="Verdana" w:eastAsiaTheme="minorHAnsi" w:hAnsi="Verdana" w:cstheme="minorBidi"/>
          <w:i/>
          <w:sz w:val="18"/>
          <w:szCs w:val="18"/>
          <w:lang w:eastAsia="en-US"/>
        </w:rPr>
        <w:t>Acórdãos n. 138/2008; 26/2009, 35/2009, 108/2009, 189/2009.</w:t>
      </w:r>
    </w:p>
    <w:p w:rsidR="000803A5" w:rsidRPr="00D56FDA" w:rsidRDefault="000803A5" w:rsidP="000803A5">
      <w:pPr>
        <w:pStyle w:val="NormalWeb"/>
        <w:shd w:val="clear" w:color="auto" w:fill="FFFFFF"/>
        <w:spacing w:before="0" w:beforeAutospacing="0" w:after="0" w:afterAutospacing="0"/>
        <w:ind w:left="1134"/>
        <w:rPr>
          <w:rFonts w:ascii="Verdana" w:hAnsi="Verdana"/>
          <w:sz w:val="18"/>
          <w:szCs w:val="18"/>
        </w:rPr>
      </w:pPr>
      <w:r w:rsidRPr="00D56FDA">
        <w:rPr>
          <w:rFonts w:ascii="Verdana" w:hAnsi="Verdana"/>
          <w:sz w:val="18"/>
          <w:szCs w:val="18"/>
        </w:rPr>
        <w:t xml:space="preserve">Consolidação </w:t>
      </w:r>
      <w:r w:rsidR="00585E3C" w:rsidRPr="00D56FDA">
        <w:rPr>
          <w:rFonts w:ascii="Verdana" w:hAnsi="Verdana"/>
          <w:sz w:val="18"/>
          <w:szCs w:val="18"/>
        </w:rPr>
        <w:t xml:space="preserve">anterior </w:t>
      </w:r>
      <w:r w:rsidRPr="00D56FDA">
        <w:rPr>
          <w:rFonts w:ascii="Verdana" w:hAnsi="Verdana"/>
          <w:sz w:val="18"/>
          <w:szCs w:val="18"/>
        </w:rPr>
        <w:t>publicada no DOE n. 9.283, de 9/11/2016, pág. 4-5</w:t>
      </w:r>
    </w:p>
    <w:p w:rsidR="000803A5" w:rsidRPr="00D56FDA" w:rsidRDefault="000803A5" w:rsidP="007628E7">
      <w:pPr>
        <w:ind w:left="1134"/>
        <w:jc w:val="both"/>
        <w:rPr>
          <w:rFonts w:ascii="Verdana" w:eastAsiaTheme="minorHAnsi" w:hAnsi="Verdana" w:cstheme="minorBidi"/>
          <w:i/>
          <w:sz w:val="18"/>
          <w:szCs w:val="18"/>
          <w:lang w:eastAsia="en-US"/>
        </w:rPr>
      </w:pPr>
    </w:p>
    <w:p w:rsidR="008B5F9E" w:rsidRPr="00D56FDA" w:rsidRDefault="008B5F9E" w:rsidP="007628E7">
      <w:pPr>
        <w:ind w:left="1134"/>
        <w:jc w:val="both"/>
        <w:rPr>
          <w:rFonts w:ascii="Verdana" w:eastAsiaTheme="minorHAnsi" w:hAnsi="Verdana" w:cstheme="minorBidi"/>
          <w:i/>
          <w:sz w:val="18"/>
          <w:szCs w:val="18"/>
          <w:lang w:eastAsia="en-US"/>
        </w:rPr>
      </w:pPr>
    </w:p>
    <w:p w:rsidR="008B5F9E" w:rsidRPr="00D56FDA" w:rsidRDefault="008B5F9E" w:rsidP="007628E7">
      <w:pPr>
        <w:ind w:left="1134"/>
        <w:jc w:val="both"/>
        <w:rPr>
          <w:rFonts w:ascii="Verdana" w:eastAsiaTheme="minorHAnsi" w:hAnsi="Verdana" w:cstheme="minorBidi"/>
          <w:sz w:val="18"/>
          <w:szCs w:val="18"/>
          <w:lang w:eastAsia="en-US"/>
        </w:rPr>
      </w:pPr>
      <w:r w:rsidRPr="00D56FDA">
        <w:rPr>
          <w:rFonts w:ascii="Verdana" w:eastAsiaTheme="minorHAnsi" w:hAnsi="Verdana" w:cstheme="minorBidi"/>
          <w:sz w:val="18"/>
          <w:szCs w:val="18"/>
          <w:lang w:eastAsia="en-US"/>
        </w:rPr>
        <w:t>11. O enquadramento no regime de pagamento do ICMS apurado por estimativa implica, na falta de reclamação ao tempo de sua realização, a aceitação do sujeito passivo e a obrigação de recolher as parcelas do ICMS estimado, sendo legítima, na falta de pagamento, a constituição do crédito tributário visando a sua cobrança.</w:t>
      </w:r>
    </w:p>
    <w:p w:rsidR="008B5F9E" w:rsidRPr="00D56FDA" w:rsidRDefault="008B5F9E" w:rsidP="007628E7">
      <w:pPr>
        <w:ind w:left="1134"/>
        <w:jc w:val="both"/>
        <w:rPr>
          <w:rFonts w:ascii="Verdana" w:eastAsiaTheme="minorHAnsi" w:hAnsi="Verdana" w:cstheme="minorBidi"/>
          <w:sz w:val="18"/>
          <w:szCs w:val="18"/>
          <w:lang w:eastAsia="en-US"/>
        </w:rPr>
      </w:pPr>
      <w:r w:rsidRPr="00D56FDA">
        <w:rPr>
          <w:rFonts w:ascii="Verdana" w:eastAsiaTheme="minorHAnsi" w:hAnsi="Verdana" w:cstheme="minorBidi"/>
          <w:sz w:val="18"/>
          <w:szCs w:val="18"/>
          <w:lang w:eastAsia="en-US"/>
        </w:rPr>
        <w:t>Referência:</w:t>
      </w:r>
    </w:p>
    <w:p w:rsidR="008B5F9E" w:rsidRPr="00D56FDA" w:rsidRDefault="008B5F9E" w:rsidP="007628E7">
      <w:pPr>
        <w:ind w:left="1134"/>
        <w:jc w:val="both"/>
        <w:rPr>
          <w:rFonts w:ascii="Verdana" w:eastAsiaTheme="minorHAnsi" w:hAnsi="Verdana" w:cstheme="minorBidi"/>
          <w:i/>
          <w:sz w:val="18"/>
          <w:szCs w:val="18"/>
          <w:lang w:eastAsia="en-US"/>
        </w:rPr>
      </w:pPr>
      <w:r w:rsidRPr="00D56FDA">
        <w:rPr>
          <w:rFonts w:ascii="Verdana" w:eastAsiaTheme="minorHAnsi" w:hAnsi="Verdana" w:cstheme="minorBidi"/>
          <w:i/>
          <w:sz w:val="18"/>
          <w:szCs w:val="18"/>
          <w:lang w:eastAsia="en-US"/>
        </w:rPr>
        <w:t>Acórdãos n. 161/2008, 162/2008, 163/2008, 166/2008, 89/2009, 97/2009, 118/2009, 119/2009, 176/2009.</w:t>
      </w:r>
    </w:p>
    <w:p w:rsidR="000803A5" w:rsidRPr="00D56FDA" w:rsidRDefault="000803A5" w:rsidP="000803A5">
      <w:pPr>
        <w:pStyle w:val="NormalWeb"/>
        <w:shd w:val="clear" w:color="auto" w:fill="FFFFFF"/>
        <w:spacing w:before="0" w:beforeAutospacing="0" w:after="0" w:afterAutospacing="0"/>
        <w:ind w:left="1134"/>
        <w:rPr>
          <w:rFonts w:ascii="Verdana" w:hAnsi="Verdana"/>
          <w:sz w:val="18"/>
          <w:szCs w:val="18"/>
        </w:rPr>
      </w:pPr>
      <w:r w:rsidRPr="00D56FDA">
        <w:rPr>
          <w:rFonts w:ascii="Verdana" w:hAnsi="Verdana"/>
          <w:sz w:val="18"/>
          <w:szCs w:val="18"/>
        </w:rPr>
        <w:t xml:space="preserve">Consolidação </w:t>
      </w:r>
      <w:r w:rsidR="00112408" w:rsidRPr="00D56FDA">
        <w:rPr>
          <w:rFonts w:ascii="Verdana" w:hAnsi="Verdana"/>
          <w:sz w:val="18"/>
          <w:szCs w:val="18"/>
        </w:rPr>
        <w:t xml:space="preserve">anterior </w:t>
      </w:r>
      <w:r w:rsidRPr="00D56FDA">
        <w:rPr>
          <w:rFonts w:ascii="Verdana" w:hAnsi="Verdana"/>
          <w:sz w:val="18"/>
          <w:szCs w:val="18"/>
        </w:rPr>
        <w:t>publicada no DOE n. 9.283, de 9/11/2016, pág. 4-5</w:t>
      </w:r>
    </w:p>
    <w:p w:rsidR="008B5F9E" w:rsidRPr="00D56FDA" w:rsidRDefault="008B5F9E" w:rsidP="007628E7">
      <w:pPr>
        <w:ind w:left="1134"/>
        <w:jc w:val="both"/>
        <w:rPr>
          <w:rFonts w:ascii="Verdana" w:eastAsiaTheme="minorHAnsi" w:hAnsi="Verdana" w:cstheme="minorBidi"/>
          <w:sz w:val="18"/>
          <w:szCs w:val="18"/>
          <w:lang w:eastAsia="en-US"/>
        </w:rPr>
      </w:pPr>
    </w:p>
    <w:p w:rsidR="00EC78F4" w:rsidRPr="00D56FDA" w:rsidRDefault="00EC78F4" w:rsidP="007628E7">
      <w:pPr>
        <w:ind w:left="1134"/>
        <w:jc w:val="both"/>
        <w:rPr>
          <w:rFonts w:ascii="Verdana" w:eastAsiaTheme="minorHAnsi" w:hAnsi="Verdana" w:cstheme="minorBidi"/>
          <w:sz w:val="18"/>
          <w:szCs w:val="18"/>
          <w:lang w:eastAsia="en-US"/>
        </w:rPr>
      </w:pPr>
    </w:p>
    <w:p w:rsidR="008B5F9E" w:rsidRPr="00D56FDA" w:rsidRDefault="008B5F9E" w:rsidP="007628E7">
      <w:pPr>
        <w:ind w:left="1134"/>
        <w:jc w:val="both"/>
        <w:rPr>
          <w:rFonts w:ascii="Verdana" w:eastAsiaTheme="minorHAnsi" w:hAnsi="Verdana" w:cstheme="minorBidi"/>
          <w:sz w:val="18"/>
          <w:szCs w:val="18"/>
          <w:lang w:eastAsia="en-US"/>
        </w:rPr>
      </w:pPr>
      <w:r w:rsidRPr="00D56FDA">
        <w:rPr>
          <w:rFonts w:ascii="Verdana" w:eastAsiaTheme="minorHAnsi" w:hAnsi="Verdana" w:cstheme="minorBidi"/>
          <w:sz w:val="18"/>
          <w:szCs w:val="18"/>
          <w:lang w:eastAsia="en-US"/>
        </w:rPr>
        <w:t>12. A falta de comunicação do início da ação fiscal não implica a nulidade dos atos de lançamento e de imposição de multa, por não constituir requisito formal desses atos, podendo, entretanto, prejudicar a atuação do fisco, ante a possibilidade de o sujeito passivo valer-se de denúncia espontânea, com os seus respectivos efeitos.</w:t>
      </w:r>
    </w:p>
    <w:p w:rsidR="008B5F9E" w:rsidRPr="00D56FDA" w:rsidRDefault="008B5F9E" w:rsidP="007628E7">
      <w:pPr>
        <w:ind w:left="1134"/>
        <w:jc w:val="both"/>
        <w:rPr>
          <w:rFonts w:ascii="Verdana" w:eastAsiaTheme="minorHAnsi" w:hAnsi="Verdana" w:cstheme="minorBidi"/>
          <w:sz w:val="18"/>
          <w:szCs w:val="18"/>
          <w:lang w:eastAsia="en-US"/>
        </w:rPr>
      </w:pPr>
      <w:r w:rsidRPr="00D56FDA">
        <w:rPr>
          <w:rFonts w:ascii="Verdana" w:eastAsiaTheme="minorHAnsi" w:hAnsi="Verdana" w:cstheme="minorBidi"/>
          <w:sz w:val="18"/>
          <w:szCs w:val="18"/>
          <w:lang w:eastAsia="en-US"/>
        </w:rPr>
        <w:t>Referência:</w:t>
      </w:r>
    </w:p>
    <w:p w:rsidR="008B5F9E" w:rsidRPr="00D56FDA" w:rsidRDefault="008B5F9E" w:rsidP="007628E7">
      <w:pPr>
        <w:ind w:left="1134"/>
        <w:jc w:val="both"/>
        <w:rPr>
          <w:rFonts w:ascii="Verdana" w:eastAsiaTheme="minorHAnsi" w:hAnsi="Verdana" w:cstheme="minorBidi"/>
          <w:sz w:val="18"/>
          <w:szCs w:val="18"/>
          <w:lang w:eastAsia="en-US"/>
        </w:rPr>
      </w:pPr>
      <w:r w:rsidRPr="00D56FDA">
        <w:rPr>
          <w:rFonts w:ascii="Verdana" w:eastAsiaTheme="minorHAnsi" w:hAnsi="Verdana" w:cstheme="minorBidi"/>
          <w:sz w:val="18"/>
          <w:szCs w:val="18"/>
          <w:lang w:eastAsia="en-US"/>
        </w:rPr>
        <w:t>Acórdãos n. 27/2007, 42/2007, 49/2007, 67/2007, 72/2007, 30/2008, 28/2009, 206/2009.</w:t>
      </w:r>
    </w:p>
    <w:p w:rsidR="000803A5" w:rsidRPr="00D56FDA" w:rsidRDefault="000803A5" w:rsidP="000803A5">
      <w:pPr>
        <w:pStyle w:val="NormalWeb"/>
        <w:shd w:val="clear" w:color="auto" w:fill="FFFFFF"/>
        <w:spacing w:before="0" w:beforeAutospacing="0" w:after="0" w:afterAutospacing="0"/>
        <w:ind w:left="1134"/>
        <w:rPr>
          <w:rFonts w:ascii="Verdana" w:hAnsi="Verdana"/>
          <w:sz w:val="18"/>
          <w:szCs w:val="18"/>
        </w:rPr>
      </w:pPr>
      <w:r w:rsidRPr="00D56FDA">
        <w:rPr>
          <w:rFonts w:ascii="Verdana" w:hAnsi="Verdana"/>
          <w:sz w:val="18"/>
          <w:szCs w:val="18"/>
        </w:rPr>
        <w:t xml:space="preserve">Consolidação </w:t>
      </w:r>
      <w:r w:rsidR="00112408" w:rsidRPr="00D56FDA">
        <w:rPr>
          <w:rFonts w:ascii="Verdana" w:hAnsi="Verdana"/>
          <w:sz w:val="18"/>
          <w:szCs w:val="18"/>
        </w:rPr>
        <w:t xml:space="preserve">anterior </w:t>
      </w:r>
      <w:r w:rsidRPr="00D56FDA">
        <w:rPr>
          <w:rFonts w:ascii="Verdana" w:hAnsi="Verdana"/>
          <w:sz w:val="18"/>
          <w:szCs w:val="18"/>
        </w:rPr>
        <w:t>publicada no DOE n. 9.283, de 9/11/2016, pág. 4-5</w:t>
      </w:r>
    </w:p>
    <w:p w:rsidR="000803A5" w:rsidRPr="00D56FDA" w:rsidRDefault="000803A5" w:rsidP="007628E7">
      <w:pPr>
        <w:ind w:left="1134"/>
        <w:jc w:val="both"/>
        <w:rPr>
          <w:rFonts w:ascii="Verdana" w:eastAsiaTheme="minorHAnsi" w:hAnsi="Verdana" w:cstheme="minorBidi"/>
          <w:sz w:val="18"/>
          <w:szCs w:val="18"/>
          <w:lang w:eastAsia="en-US"/>
        </w:rPr>
      </w:pPr>
    </w:p>
    <w:p w:rsidR="008B5F9E" w:rsidRPr="00D56FDA" w:rsidRDefault="008B5F9E" w:rsidP="007628E7">
      <w:pPr>
        <w:ind w:left="1134"/>
        <w:jc w:val="both"/>
        <w:rPr>
          <w:rFonts w:ascii="Verdana" w:eastAsiaTheme="minorHAnsi" w:hAnsi="Verdana" w:cstheme="minorBidi"/>
          <w:sz w:val="18"/>
          <w:szCs w:val="18"/>
          <w:lang w:eastAsia="en-US"/>
        </w:rPr>
      </w:pPr>
    </w:p>
    <w:p w:rsidR="008B5F9E" w:rsidRPr="00D56FDA" w:rsidRDefault="008B5F9E" w:rsidP="007628E7">
      <w:pPr>
        <w:ind w:left="1134"/>
        <w:jc w:val="both"/>
        <w:rPr>
          <w:rFonts w:ascii="Verdana" w:eastAsiaTheme="minorHAnsi" w:hAnsi="Verdana" w:cstheme="minorBidi"/>
          <w:sz w:val="18"/>
          <w:szCs w:val="18"/>
          <w:lang w:eastAsia="en-US"/>
        </w:rPr>
      </w:pPr>
      <w:r w:rsidRPr="00D56FDA">
        <w:rPr>
          <w:rFonts w:ascii="Verdana" w:eastAsiaTheme="minorHAnsi" w:hAnsi="Verdana" w:cstheme="minorBidi"/>
          <w:sz w:val="18"/>
          <w:szCs w:val="18"/>
          <w:lang w:eastAsia="en-US"/>
        </w:rPr>
        <w:t>13. REVOGADA</w:t>
      </w:r>
    </w:p>
    <w:p w:rsidR="007628E7" w:rsidRPr="00D56FDA" w:rsidRDefault="007628E7" w:rsidP="000F5806">
      <w:pPr>
        <w:pStyle w:val="NormalWeb"/>
        <w:shd w:val="clear" w:color="auto" w:fill="FFFFFF"/>
        <w:spacing w:before="0" w:beforeAutospacing="0" w:after="0" w:afterAutospacing="0"/>
        <w:ind w:left="1134"/>
        <w:jc w:val="both"/>
        <w:rPr>
          <w:rFonts w:ascii="Verdana" w:hAnsi="Verdana"/>
          <w:sz w:val="18"/>
          <w:szCs w:val="18"/>
        </w:rPr>
      </w:pPr>
      <w:r w:rsidRPr="00D56FDA">
        <w:rPr>
          <w:rFonts w:ascii="Verdana" w:hAnsi="Verdana"/>
          <w:sz w:val="18"/>
          <w:szCs w:val="18"/>
        </w:rPr>
        <w:t>Revogada pela Resolução TAT n. 7/2022, publicada no DOE n. 10.929, de 2/9/2022, f. 5-7.</w:t>
      </w:r>
    </w:p>
    <w:p w:rsidR="007628E7" w:rsidRPr="00D56FDA" w:rsidRDefault="007628E7" w:rsidP="007628E7">
      <w:pPr>
        <w:ind w:left="1134"/>
        <w:jc w:val="both"/>
        <w:rPr>
          <w:rFonts w:ascii="Verdana" w:hAnsi="Verdana" w:cs="Arial"/>
          <w:sz w:val="18"/>
          <w:szCs w:val="18"/>
        </w:rPr>
      </w:pPr>
    </w:p>
    <w:p w:rsidR="008B5F9E" w:rsidRPr="00D56FDA" w:rsidRDefault="008B5F9E" w:rsidP="007628E7">
      <w:pPr>
        <w:ind w:left="1134"/>
        <w:jc w:val="both"/>
        <w:rPr>
          <w:rFonts w:ascii="Verdana" w:eastAsia="Calibri" w:hAnsi="Verdana"/>
          <w:sz w:val="18"/>
          <w:szCs w:val="18"/>
        </w:rPr>
      </w:pPr>
      <w:r w:rsidRPr="00D56FDA">
        <w:rPr>
          <w:rFonts w:ascii="Verdana" w:hAnsi="Verdana" w:cs="Arial"/>
          <w:sz w:val="18"/>
          <w:szCs w:val="18"/>
        </w:rPr>
        <w:t xml:space="preserve">14. </w:t>
      </w:r>
      <w:r w:rsidRPr="00D56FDA">
        <w:rPr>
          <w:rFonts w:ascii="Verdana" w:eastAsia="Calibri" w:hAnsi="Verdana"/>
          <w:sz w:val="18"/>
          <w:szCs w:val="18"/>
        </w:rPr>
        <w:t xml:space="preserve">Havendo no Auto de Lançamento e de Imposição de Multa (ALIM) a identificação de elementos suficientes à determinação do fato no qual se embasa </w:t>
      </w:r>
      <w:r w:rsidRPr="00D56FDA">
        <w:rPr>
          <w:rFonts w:ascii="Verdana" w:eastAsia="Calibri" w:hAnsi="Verdana"/>
          <w:sz w:val="18"/>
          <w:szCs w:val="18"/>
        </w:rPr>
        <w:lastRenderedPageBreak/>
        <w:t xml:space="preserve">a exigência fiscal, ainda que descritos ou contidos em mais de um dos seus quadros ou anexos, de modo a possibilitar o exercício do contraditório e da ampla defesa, não resta configurada, nesse aspecto, a nulidade formal do ato de lançamento e de imposição de multa. </w:t>
      </w:r>
    </w:p>
    <w:p w:rsidR="008B5F9E" w:rsidRPr="00D56FDA" w:rsidRDefault="008B5F9E" w:rsidP="007628E7">
      <w:pPr>
        <w:ind w:left="1134"/>
        <w:jc w:val="both"/>
        <w:rPr>
          <w:rFonts w:ascii="Verdana" w:eastAsia="Calibri" w:hAnsi="Verdana"/>
          <w:sz w:val="18"/>
          <w:szCs w:val="18"/>
        </w:rPr>
      </w:pPr>
      <w:r w:rsidRPr="00D56FDA">
        <w:rPr>
          <w:rFonts w:ascii="Verdana" w:eastAsia="Calibri" w:hAnsi="Verdana"/>
          <w:sz w:val="18"/>
          <w:szCs w:val="18"/>
        </w:rPr>
        <w:t>Referências:</w:t>
      </w:r>
    </w:p>
    <w:p w:rsidR="00435E26" w:rsidRPr="00D56FDA" w:rsidRDefault="008B5F9E" w:rsidP="007628E7">
      <w:pPr>
        <w:ind w:left="1134"/>
        <w:jc w:val="both"/>
        <w:rPr>
          <w:rFonts w:ascii="Verdana" w:eastAsia="Calibri" w:hAnsi="Verdana"/>
          <w:i/>
          <w:sz w:val="18"/>
          <w:szCs w:val="18"/>
        </w:rPr>
      </w:pPr>
      <w:r w:rsidRPr="00D56FDA">
        <w:rPr>
          <w:rFonts w:ascii="Verdana" w:hAnsi="Verdana"/>
          <w:i/>
          <w:sz w:val="18"/>
          <w:szCs w:val="18"/>
        </w:rPr>
        <w:t>Acórdãos n.</w:t>
      </w:r>
      <w:r w:rsidRPr="00D56FDA">
        <w:rPr>
          <w:rFonts w:ascii="Verdana" w:eastAsia="Calibri" w:hAnsi="Verdana"/>
          <w:i/>
          <w:sz w:val="18"/>
          <w:szCs w:val="18"/>
        </w:rPr>
        <w:t xml:space="preserve"> 104/2020, 157/2020, 2/2021, 229/2021, 285/2021, 297/2021, 14/2022, 20/2022, 24/2022, 49/2022. </w:t>
      </w:r>
    </w:p>
    <w:p w:rsidR="007628E7" w:rsidRPr="00D56FDA" w:rsidRDefault="007628E7" w:rsidP="001F5343">
      <w:pPr>
        <w:pStyle w:val="NormalWeb"/>
        <w:shd w:val="clear" w:color="auto" w:fill="FFFFFF"/>
        <w:spacing w:before="0" w:beforeAutospacing="0" w:after="0" w:afterAutospacing="0"/>
        <w:ind w:left="1134"/>
        <w:jc w:val="both"/>
        <w:rPr>
          <w:rFonts w:ascii="Verdana" w:hAnsi="Verdana"/>
          <w:sz w:val="18"/>
          <w:szCs w:val="18"/>
        </w:rPr>
      </w:pPr>
      <w:r w:rsidRPr="00D56FDA">
        <w:rPr>
          <w:rFonts w:ascii="Verdana" w:hAnsi="Verdana"/>
          <w:sz w:val="18"/>
          <w:szCs w:val="18"/>
        </w:rPr>
        <w:t>Aprova</w:t>
      </w:r>
      <w:r w:rsidR="00112408" w:rsidRPr="00D56FDA">
        <w:rPr>
          <w:rFonts w:ascii="Verdana" w:hAnsi="Verdana"/>
          <w:sz w:val="18"/>
          <w:szCs w:val="18"/>
        </w:rPr>
        <w:t>ção publicada p</w:t>
      </w:r>
      <w:r w:rsidRPr="00D56FDA">
        <w:rPr>
          <w:rFonts w:ascii="Verdana" w:hAnsi="Verdana"/>
          <w:sz w:val="18"/>
          <w:szCs w:val="18"/>
        </w:rPr>
        <w:t>ela Resolução TAT n. 7/2022, publicada no DOE n. 10.929, de 2/9/2022, f. 5-7.</w:t>
      </w:r>
    </w:p>
    <w:p w:rsidR="008B5F9E" w:rsidRPr="00D56FDA" w:rsidRDefault="008B5F9E" w:rsidP="007628E7">
      <w:pPr>
        <w:ind w:left="1134"/>
        <w:jc w:val="both"/>
        <w:rPr>
          <w:rFonts w:ascii="Verdana" w:hAnsi="Verdana" w:cs="Calibri Light"/>
          <w:sz w:val="18"/>
          <w:szCs w:val="18"/>
        </w:rPr>
      </w:pPr>
    </w:p>
    <w:p w:rsidR="00EC78F4" w:rsidRPr="00D56FDA" w:rsidRDefault="00EC78F4" w:rsidP="007628E7">
      <w:pPr>
        <w:ind w:left="1134"/>
        <w:jc w:val="both"/>
        <w:rPr>
          <w:rFonts w:ascii="Verdana" w:hAnsi="Verdana" w:cs="Calibri Light"/>
          <w:sz w:val="18"/>
          <w:szCs w:val="18"/>
        </w:rPr>
      </w:pPr>
    </w:p>
    <w:p w:rsidR="008B5F9E" w:rsidRPr="00D56FDA" w:rsidRDefault="008B5F9E" w:rsidP="007628E7">
      <w:pPr>
        <w:ind w:left="1134"/>
        <w:jc w:val="both"/>
        <w:rPr>
          <w:rFonts w:ascii="Verdana" w:hAnsi="Verdana" w:cs="Calibri Light"/>
          <w:sz w:val="18"/>
          <w:szCs w:val="18"/>
        </w:rPr>
      </w:pPr>
      <w:r w:rsidRPr="00D56FDA">
        <w:rPr>
          <w:rFonts w:ascii="Verdana" w:hAnsi="Verdana" w:cs="Calibri Light"/>
          <w:sz w:val="18"/>
          <w:szCs w:val="18"/>
        </w:rPr>
        <w:t>15. A aquisição de mercadoria sem registro fiscal relativo à sua entrada física ou simbólica no estabelecimento autoriza, salvo prova em contrário, a presunção de sua saída sem a emissão de documento fiscal e sem o pagamento do imposto devido, devendo ser aplicada a penalidade prevista no art. 117, I, “h”, da Lei n. 1.810, de 1997.</w:t>
      </w:r>
    </w:p>
    <w:p w:rsidR="008B5F9E" w:rsidRPr="00D56FDA" w:rsidRDefault="008B5F9E" w:rsidP="007628E7">
      <w:pPr>
        <w:ind w:left="1134"/>
        <w:jc w:val="both"/>
        <w:rPr>
          <w:rFonts w:ascii="Verdana" w:eastAsia="Calibri" w:hAnsi="Verdana"/>
          <w:sz w:val="18"/>
          <w:szCs w:val="18"/>
        </w:rPr>
      </w:pPr>
      <w:r w:rsidRPr="00D56FDA">
        <w:rPr>
          <w:rFonts w:ascii="Verdana" w:eastAsia="Calibri" w:hAnsi="Verdana"/>
          <w:sz w:val="18"/>
          <w:szCs w:val="18"/>
        </w:rPr>
        <w:t>Referências:</w:t>
      </w:r>
    </w:p>
    <w:p w:rsidR="008B5F9E" w:rsidRPr="00D56FDA" w:rsidRDefault="008B5F9E" w:rsidP="007628E7">
      <w:pPr>
        <w:ind w:left="1134"/>
        <w:jc w:val="both"/>
        <w:rPr>
          <w:rFonts w:ascii="Verdana" w:eastAsia="Calibri" w:hAnsi="Verdana"/>
          <w:i/>
          <w:sz w:val="18"/>
          <w:szCs w:val="18"/>
        </w:rPr>
      </w:pPr>
      <w:r w:rsidRPr="00D56FDA">
        <w:rPr>
          <w:rFonts w:ascii="Verdana" w:hAnsi="Verdana"/>
          <w:i/>
          <w:sz w:val="18"/>
          <w:szCs w:val="18"/>
        </w:rPr>
        <w:t xml:space="preserve">Acórdãos n. </w:t>
      </w:r>
      <w:r w:rsidRPr="00D56FDA">
        <w:rPr>
          <w:rFonts w:ascii="Verdana" w:hAnsi="Verdana" w:cs="Calibri Light"/>
          <w:i/>
          <w:sz w:val="18"/>
          <w:szCs w:val="18"/>
        </w:rPr>
        <w:t>158</w:t>
      </w:r>
      <w:r w:rsidRPr="00D56FDA">
        <w:rPr>
          <w:rFonts w:ascii="Verdana" w:eastAsia="Calibri" w:hAnsi="Verdana"/>
          <w:i/>
          <w:sz w:val="18"/>
          <w:szCs w:val="18"/>
        </w:rPr>
        <w:t xml:space="preserve">/2017, 48/2018, 254/2018, 1/2020, 8/2020, 157/2020, 125/2022. </w:t>
      </w:r>
    </w:p>
    <w:p w:rsidR="007628E7" w:rsidRPr="00D56FDA" w:rsidRDefault="00112408" w:rsidP="001F5343">
      <w:pPr>
        <w:pStyle w:val="NormalWeb"/>
        <w:shd w:val="clear" w:color="auto" w:fill="FFFFFF"/>
        <w:spacing w:before="0" w:beforeAutospacing="0" w:after="0" w:afterAutospacing="0"/>
        <w:ind w:left="1134"/>
        <w:jc w:val="both"/>
        <w:rPr>
          <w:rFonts w:ascii="Verdana" w:hAnsi="Verdana"/>
          <w:sz w:val="18"/>
          <w:szCs w:val="18"/>
        </w:rPr>
      </w:pPr>
      <w:r w:rsidRPr="00D56FDA">
        <w:rPr>
          <w:rFonts w:ascii="Verdana" w:hAnsi="Verdana"/>
          <w:sz w:val="18"/>
          <w:szCs w:val="18"/>
        </w:rPr>
        <w:t xml:space="preserve">Aprovação publicada </w:t>
      </w:r>
      <w:r w:rsidR="007628E7" w:rsidRPr="00D56FDA">
        <w:rPr>
          <w:rFonts w:ascii="Verdana" w:hAnsi="Verdana"/>
          <w:sz w:val="18"/>
          <w:szCs w:val="18"/>
        </w:rPr>
        <w:t>pela Resolução TAT n. 7/2022, publicada no DOE n. 10.929, de 2/9/2022, f. 5-7.</w:t>
      </w:r>
    </w:p>
    <w:p w:rsidR="00435E26" w:rsidRPr="00D56FDA" w:rsidRDefault="00435E26" w:rsidP="007628E7">
      <w:pPr>
        <w:ind w:left="1134"/>
        <w:jc w:val="both"/>
        <w:rPr>
          <w:rFonts w:ascii="Verdana" w:eastAsia="Calibri" w:hAnsi="Verdana"/>
          <w:i/>
          <w:sz w:val="18"/>
          <w:szCs w:val="18"/>
        </w:rPr>
      </w:pPr>
    </w:p>
    <w:p w:rsidR="008B5F9E" w:rsidRPr="00D56FDA" w:rsidRDefault="008B5F9E" w:rsidP="007628E7">
      <w:pPr>
        <w:ind w:left="1134"/>
        <w:jc w:val="both"/>
        <w:textAlignment w:val="baseline"/>
        <w:rPr>
          <w:rFonts w:ascii="Verdana" w:hAnsi="Verdana" w:cs="Calibri Light"/>
          <w:sz w:val="18"/>
          <w:szCs w:val="18"/>
        </w:rPr>
      </w:pPr>
    </w:p>
    <w:p w:rsidR="008B5F9E" w:rsidRPr="00D56FDA" w:rsidRDefault="008B5F9E" w:rsidP="007628E7">
      <w:pPr>
        <w:ind w:left="1134"/>
        <w:jc w:val="both"/>
        <w:rPr>
          <w:rFonts w:ascii="Verdana" w:hAnsi="Verdana" w:cs="Calibri Light"/>
          <w:sz w:val="18"/>
          <w:szCs w:val="18"/>
        </w:rPr>
      </w:pPr>
      <w:r w:rsidRPr="00D56FDA">
        <w:rPr>
          <w:rFonts w:ascii="Verdana" w:hAnsi="Verdana" w:cs="Calibri Light"/>
          <w:sz w:val="18"/>
          <w:szCs w:val="18"/>
        </w:rPr>
        <w:t>16. Na hipótese de presunção de ocorrência de operações de saída ou de prestações de serviço tributadas, estabelecida nos termos do art. 5º, § 4º, V-A, da Lei n. 1.810, de 1997, aplica-se a penalidade prevista no art. 117, I, “h”, da Lei n. 1.810, de 1997, no pressuposto de que, salvo prova em contrário, as referidas operações de saída ou de prestações de serviço ocorreram sem a emissão de documentos fiscais e sem o pagamento do imposto.</w:t>
      </w:r>
    </w:p>
    <w:p w:rsidR="008B5F9E" w:rsidRPr="00D56FDA" w:rsidRDefault="008B5F9E" w:rsidP="007628E7">
      <w:pPr>
        <w:ind w:left="1134"/>
        <w:jc w:val="both"/>
        <w:rPr>
          <w:rFonts w:ascii="Verdana" w:eastAsia="Calibri" w:hAnsi="Verdana"/>
          <w:sz w:val="18"/>
          <w:szCs w:val="18"/>
        </w:rPr>
      </w:pPr>
      <w:r w:rsidRPr="00D56FDA">
        <w:rPr>
          <w:rFonts w:ascii="Verdana" w:eastAsia="Calibri" w:hAnsi="Verdana"/>
          <w:sz w:val="18"/>
          <w:szCs w:val="18"/>
        </w:rPr>
        <w:t>Referências:</w:t>
      </w:r>
    </w:p>
    <w:p w:rsidR="008B5F9E" w:rsidRPr="00D56FDA" w:rsidRDefault="008B5F9E" w:rsidP="007628E7">
      <w:pPr>
        <w:ind w:left="1134"/>
        <w:jc w:val="both"/>
        <w:rPr>
          <w:rFonts w:ascii="Verdana" w:hAnsi="Verdana" w:cs="Calibri Light"/>
          <w:i/>
          <w:sz w:val="18"/>
          <w:szCs w:val="18"/>
        </w:rPr>
      </w:pPr>
      <w:r w:rsidRPr="00D56FDA">
        <w:rPr>
          <w:rFonts w:ascii="Verdana" w:hAnsi="Verdana"/>
          <w:i/>
          <w:sz w:val="18"/>
          <w:szCs w:val="18"/>
        </w:rPr>
        <w:t xml:space="preserve">Acórdãos n. </w:t>
      </w:r>
      <w:r w:rsidRPr="00D56FDA">
        <w:rPr>
          <w:rFonts w:ascii="Verdana" w:hAnsi="Verdana" w:cs="Calibri Light"/>
          <w:i/>
          <w:sz w:val="18"/>
          <w:szCs w:val="18"/>
        </w:rPr>
        <w:t>180/2017, 39/2018 143/2018, 44/2020, 80/2021, 105/2021, 117/2021.</w:t>
      </w:r>
    </w:p>
    <w:p w:rsidR="007628E7" w:rsidRPr="00D56FDA" w:rsidRDefault="00112408" w:rsidP="001F5343">
      <w:pPr>
        <w:pStyle w:val="NormalWeb"/>
        <w:shd w:val="clear" w:color="auto" w:fill="FFFFFF"/>
        <w:spacing w:before="0" w:beforeAutospacing="0" w:after="0" w:afterAutospacing="0"/>
        <w:ind w:left="1134"/>
        <w:jc w:val="both"/>
        <w:rPr>
          <w:rFonts w:ascii="Verdana" w:hAnsi="Verdana"/>
          <w:sz w:val="18"/>
          <w:szCs w:val="18"/>
        </w:rPr>
      </w:pPr>
      <w:r w:rsidRPr="00D56FDA">
        <w:rPr>
          <w:rFonts w:ascii="Verdana" w:hAnsi="Verdana"/>
          <w:sz w:val="18"/>
          <w:szCs w:val="18"/>
        </w:rPr>
        <w:t xml:space="preserve">Aprovação publicada </w:t>
      </w:r>
      <w:r w:rsidR="007628E7" w:rsidRPr="00D56FDA">
        <w:rPr>
          <w:rFonts w:ascii="Verdana" w:hAnsi="Verdana"/>
          <w:sz w:val="18"/>
          <w:szCs w:val="18"/>
        </w:rPr>
        <w:t>pela Resolução TAT n. 7/2022, publicada no DOE n. 10.929, de 2/9/2022, f. 5-7.</w:t>
      </w:r>
    </w:p>
    <w:p w:rsidR="008B5F9E" w:rsidRPr="00D56FDA" w:rsidRDefault="008B5F9E" w:rsidP="007628E7">
      <w:pPr>
        <w:ind w:left="1134"/>
        <w:jc w:val="both"/>
        <w:rPr>
          <w:rFonts w:ascii="Verdana" w:hAnsi="Verdana" w:cs="Calibri Light"/>
          <w:sz w:val="18"/>
          <w:szCs w:val="18"/>
        </w:rPr>
      </w:pPr>
    </w:p>
    <w:p w:rsidR="00EC78F4" w:rsidRPr="00D56FDA" w:rsidRDefault="00EC78F4" w:rsidP="007628E7">
      <w:pPr>
        <w:ind w:left="1134"/>
        <w:jc w:val="both"/>
        <w:rPr>
          <w:rFonts w:ascii="Verdana" w:hAnsi="Verdana" w:cs="Calibri Light"/>
          <w:sz w:val="18"/>
          <w:szCs w:val="18"/>
        </w:rPr>
      </w:pPr>
    </w:p>
    <w:p w:rsidR="008B5F9E" w:rsidRPr="00D56FDA" w:rsidRDefault="008B5F9E" w:rsidP="007628E7">
      <w:pPr>
        <w:ind w:left="1134"/>
        <w:jc w:val="both"/>
        <w:rPr>
          <w:rFonts w:ascii="Verdana" w:hAnsi="Verdana" w:cs="Calibri Light"/>
          <w:sz w:val="18"/>
          <w:szCs w:val="18"/>
        </w:rPr>
      </w:pPr>
      <w:r w:rsidRPr="00D56FDA">
        <w:rPr>
          <w:rFonts w:ascii="Verdana" w:hAnsi="Verdana" w:cs="Calibri Light"/>
          <w:sz w:val="18"/>
          <w:szCs w:val="18"/>
        </w:rPr>
        <w:t>17. O indeferimento motivado de pedido de perícia ou diligência não configura</w:t>
      </w:r>
      <w:r w:rsidRPr="00D56FDA">
        <w:rPr>
          <w:rFonts w:ascii="Verdana" w:eastAsia="Calibri" w:hAnsi="Verdana" w:cs="Segoe UI"/>
          <w:sz w:val="18"/>
          <w:szCs w:val="18"/>
          <w:shd w:val="clear" w:color="auto" w:fill="FFFFFF"/>
        </w:rPr>
        <w:t xml:space="preserve"> </w:t>
      </w:r>
      <w:r w:rsidRPr="00D56FDA">
        <w:rPr>
          <w:rFonts w:ascii="Verdana" w:hAnsi="Verdana" w:cs="Calibri Light"/>
          <w:sz w:val="18"/>
          <w:szCs w:val="18"/>
        </w:rPr>
        <w:t>cerceamento de defesa a implicar a nulidade da decisão.</w:t>
      </w:r>
    </w:p>
    <w:p w:rsidR="008B5F9E" w:rsidRPr="00D56FDA" w:rsidRDefault="008B5F9E" w:rsidP="007628E7">
      <w:pPr>
        <w:ind w:left="1134"/>
        <w:jc w:val="both"/>
        <w:rPr>
          <w:rFonts w:ascii="Verdana" w:eastAsia="Calibri" w:hAnsi="Verdana"/>
          <w:sz w:val="18"/>
          <w:szCs w:val="18"/>
        </w:rPr>
      </w:pPr>
      <w:r w:rsidRPr="00D56FDA">
        <w:rPr>
          <w:rFonts w:ascii="Verdana" w:eastAsia="Calibri" w:hAnsi="Verdana"/>
          <w:sz w:val="18"/>
          <w:szCs w:val="18"/>
        </w:rPr>
        <w:t>Referências:</w:t>
      </w:r>
    </w:p>
    <w:p w:rsidR="008B5F9E" w:rsidRPr="00D56FDA" w:rsidRDefault="008B5F9E" w:rsidP="007628E7">
      <w:pPr>
        <w:ind w:left="1134"/>
        <w:jc w:val="both"/>
        <w:rPr>
          <w:rFonts w:ascii="Verdana" w:hAnsi="Verdana"/>
          <w:i/>
          <w:sz w:val="18"/>
          <w:szCs w:val="18"/>
        </w:rPr>
      </w:pPr>
      <w:r w:rsidRPr="00D56FDA">
        <w:rPr>
          <w:rFonts w:ascii="Verdana" w:hAnsi="Verdana"/>
          <w:i/>
          <w:sz w:val="18"/>
          <w:szCs w:val="18"/>
        </w:rPr>
        <w:t>Acórdãos n. 78/2021, 101/2021, 123/2021, 131/2021, 171/2021, 199/2021, 221/2021, 231/2021, 20/2022, 40/2022, 131/2022.</w:t>
      </w:r>
    </w:p>
    <w:p w:rsidR="007628E7" w:rsidRPr="00D56FDA" w:rsidRDefault="00112408" w:rsidP="001F5343">
      <w:pPr>
        <w:pStyle w:val="NormalWeb"/>
        <w:shd w:val="clear" w:color="auto" w:fill="FFFFFF"/>
        <w:spacing w:before="0" w:beforeAutospacing="0" w:after="0" w:afterAutospacing="0"/>
        <w:ind w:left="1134"/>
        <w:jc w:val="both"/>
        <w:rPr>
          <w:rFonts w:ascii="Verdana" w:hAnsi="Verdana"/>
          <w:sz w:val="18"/>
          <w:szCs w:val="18"/>
        </w:rPr>
      </w:pPr>
      <w:r w:rsidRPr="00D56FDA">
        <w:rPr>
          <w:rFonts w:ascii="Verdana" w:hAnsi="Verdana"/>
          <w:sz w:val="18"/>
          <w:szCs w:val="18"/>
        </w:rPr>
        <w:t xml:space="preserve">Aprovação publicada </w:t>
      </w:r>
      <w:r w:rsidR="007628E7" w:rsidRPr="00D56FDA">
        <w:rPr>
          <w:rFonts w:ascii="Verdana" w:hAnsi="Verdana"/>
          <w:sz w:val="18"/>
          <w:szCs w:val="18"/>
        </w:rPr>
        <w:t>pela Resolução TAT n. 7/2022, publicada no DOE n. 10.929, de 2/9/2022, f. 5-7.</w:t>
      </w:r>
    </w:p>
    <w:p w:rsidR="008B5F9E" w:rsidRPr="00D56FDA" w:rsidRDefault="008B5F9E" w:rsidP="007628E7">
      <w:pPr>
        <w:ind w:left="1134"/>
        <w:jc w:val="both"/>
        <w:textAlignment w:val="baseline"/>
        <w:rPr>
          <w:rFonts w:ascii="Verdana" w:eastAsia="Calibri" w:hAnsi="Verdana" w:cs="Segoe UI"/>
          <w:sz w:val="18"/>
          <w:szCs w:val="18"/>
          <w:shd w:val="clear" w:color="auto" w:fill="FFFFFF"/>
        </w:rPr>
      </w:pPr>
    </w:p>
    <w:p w:rsidR="00EC78F4" w:rsidRPr="00D56FDA" w:rsidRDefault="00EC78F4" w:rsidP="007628E7">
      <w:pPr>
        <w:ind w:left="1134"/>
        <w:jc w:val="both"/>
        <w:textAlignment w:val="baseline"/>
        <w:rPr>
          <w:rFonts w:ascii="Verdana" w:eastAsia="Calibri" w:hAnsi="Verdana" w:cs="Segoe UI"/>
          <w:sz w:val="18"/>
          <w:szCs w:val="18"/>
          <w:shd w:val="clear" w:color="auto" w:fill="FFFFFF"/>
        </w:rPr>
      </w:pPr>
    </w:p>
    <w:p w:rsidR="008B5F9E" w:rsidRPr="00D56FDA" w:rsidRDefault="008B5F9E" w:rsidP="007628E7">
      <w:pPr>
        <w:ind w:left="1134"/>
        <w:jc w:val="both"/>
        <w:rPr>
          <w:rFonts w:ascii="Verdana" w:hAnsi="Verdana" w:cs="Calibri Light"/>
          <w:sz w:val="18"/>
          <w:szCs w:val="18"/>
        </w:rPr>
      </w:pPr>
      <w:r w:rsidRPr="00D56FDA">
        <w:rPr>
          <w:rFonts w:ascii="Verdana" w:hAnsi="Verdana" w:cs="Calibri Light"/>
          <w:sz w:val="18"/>
          <w:szCs w:val="18"/>
        </w:rPr>
        <w:t>18. Integra a base de cálculo do ICMS o valor do próprio imposto na hipótese em que o sujeito passivo classifique indevidamente as operações ou prestações como isentas, imunes ou não tributadas.</w:t>
      </w:r>
    </w:p>
    <w:p w:rsidR="008B5F9E" w:rsidRPr="00D56FDA" w:rsidRDefault="008B5F9E" w:rsidP="007628E7">
      <w:pPr>
        <w:ind w:left="1134"/>
        <w:jc w:val="both"/>
        <w:rPr>
          <w:rFonts w:ascii="Verdana" w:eastAsia="Calibri" w:hAnsi="Verdana"/>
          <w:sz w:val="18"/>
          <w:szCs w:val="18"/>
        </w:rPr>
      </w:pPr>
      <w:r w:rsidRPr="00D56FDA">
        <w:rPr>
          <w:rFonts w:ascii="Verdana" w:eastAsia="Calibri" w:hAnsi="Verdana"/>
          <w:sz w:val="18"/>
          <w:szCs w:val="18"/>
        </w:rPr>
        <w:t>Referências:</w:t>
      </w:r>
    </w:p>
    <w:p w:rsidR="008B5F9E" w:rsidRPr="00D56FDA" w:rsidRDefault="008B5F9E" w:rsidP="007628E7">
      <w:pPr>
        <w:ind w:left="1134"/>
        <w:jc w:val="both"/>
        <w:rPr>
          <w:rFonts w:ascii="Verdana" w:hAnsi="Verdana"/>
          <w:i/>
          <w:sz w:val="18"/>
          <w:szCs w:val="18"/>
        </w:rPr>
      </w:pPr>
      <w:r w:rsidRPr="00D56FDA">
        <w:rPr>
          <w:rFonts w:ascii="Verdana" w:hAnsi="Verdana"/>
          <w:i/>
          <w:sz w:val="18"/>
          <w:szCs w:val="18"/>
        </w:rPr>
        <w:t>Acórdãos n. 117/2019, 118/2019, 179/2019, 192/2019, 32/2020, 53/2021, 59/2021, 116/2021.</w:t>
      </w:r>
    </w:p>
    <w:p w:rsidR="007628E7" w:rsidRPr="00D56FDA" w:rsidRDefault="00112408" w:rsidP="001F5343">
      <w:pPr>
        <w:pStyle w:val="NormalWeb"/>
        <w:shd w:val="clear" w:color="auto" w:fill="FFFFFF"/>
        <w:spacing w:before="0" w:beforeAutospacing="0" w:after="0" w:afterAutospacing="0"/>
        <w:ind w:left="1134"/>
        <w:jc w:val="both"/>
        <w:rPr>
          <w:rFonts w:ascii="Verdana" w:hAnsi="Verdana"/>
          <w:sz w:val="18"/>
          <w:szCs w:val="18"/>
        </w:rPr>
      </w:pPr>
      <w:r w:rsidRPr="00D56FDA">
        <w:rPr>
          <w:rFonts w:ascii="Verdana" w:hAnsi="Verdana"/>
          <w:sz w:val="18"/>
          <w:szCs w:val="18"/>
        </w:rPr>
        <w:t xml:space="preserve">Aprovação publicada </w:t>
      </w:r>
      <w:r w:rsidR="007628E7" w:rsidRPr="00D56FDA">
        <w:rPr>
          <w:rFonts w:ascii="Verdana" w:hAnsi="Verdana"/>
          <w:sz w:val="18"/>
          <w:szCs w:val="18"/>
        </w:rPr>
        <w:t>pela Resolução TAT n. 7/2022, publicada no DOE n. 10.929, de 2/9/2022, f. 5-7.</w:t>
      </w:r>
    </w:p>
    <w:p w:rsidR="008B5F9E" w:rsidRPr="00D56FDA" w:rsidRDefault="008B5F9E" w:rsidP="007628E7">
      <w:pPr>
        <w:ind w:left="1134"/>
        <w:jc w:val="both"/>
        <w:rPr>
          <w:rFonts w:ascii="Verdana" w:hAnsi="Verdana" w:cs="Calibri Light"/>
          <w:sz w:val="18"/>
          <w:szCs w:val="18"/>
        </w:rPr>
      </w:pPr>
    </w:p>
    <w:p w:rsidR="00EC78F4" w:rsidRPr="00D56FDA" w:rsidRDefault="00EC78F4" w:rsidP="007628E7">
      <w:pPr>
        <w:ind w:left="1134"/>
        <w:jc w:val="both"/>
        <w:rPr>
          <w:rFonts w:ascii="Verdana" w:hAnsi="Verdana" w:cs="Calibri Light"/>
          <w:sz w:val="18"/>
          <w:szCs w:val="18"/>
        </w:rPr>
      </w:pPr>
    </w:p>
    <w:p w:rsidR="008B5F9E" w:rsidRPr="00D56FDA" w:rsidRDefault="008B5F9E" w:rsidP="007628E7">
      <w:pPr>
        <w:ind w:left="1134"/>
        <w:jc w:val="both"/>
        <w:rPr>
          <w:rFonts w:ascii="Verdana" w:hAnsi="Verdana" w:cs="Calibri Light"/>
          <w:sz w:val="18"/>
          <w:szCs w:val="18"/>
        </w:rPr>
      </w:pPr>
      <w:r w:rsidRPr="00D56FDA">
        <w:rPr>
          <w:rFonts w:ascii="Verdana" w:hAnsi="Verdana" w:cs="Calibri Light"/>
          <w:sz w:val="18"/>
          <w:szCs w:val="18"/>
        </w:rPr>
        <w:t>19. Integram a base de cálculo do ICMS os valores continuadamente cobrados dos usuários, vinculados e condicionados à prestação de serviço de comunicação, por serem remuneratórios do conjunto de atividades ou meios físicos ou lógicos necessários à oferta desse serviço propriamente dito.</w:t>
      </w:r>
    </w:p>
    <w:p w:rsidR="008B5F9E" w:rsidRPr="00D56FDA" w:rsidRDefault="008B5F9E" w:rsidP="007628E7">
      <w:pPr>
        <w:ind w:left="1134"/>
        <w:jc w:val="both"/>
        <w:rPr>
          <w:rFonts w:ascii="Verdana" w:eastAsia="Calibri" w:hAnsi="Verdana"/>
          <w:sz w:val="18"/>
          <w:szCs w:val="18"/>
        </w:rPr>
      </w:pPr>
      <w:r w:rsidRPr="00D56FDA">
        <w:rPr>
          <w:rFonts w:ascii="Verdana" w:eastAsia="Calibri" w:hAnsi="Verdana"/>
          <w:sz w:val="18"/>
          <w:szCs w:val="18"/>
        </w:rPr>
        <w:t>Referências:</w:t>
      </w:r>
    </w:p>
    <w:p w:rsidR="008B5F9E" w:rsidRPr="00D56FDA" w:rsidRDefault="008B5F9E" w:rsidP="007628E7">
      <w:pPr>
        <w:ind w:left="1134"/>
        <w:jc w:val="both"/>
        <w:rPr>
          <w:rFonts w:ascii="Verdana" w:hAnsi="Verdana"/>
          <w:i/>
          <w:sz w:val="18"/>
          <w:szCs w:val="18"/>
        </w:rPr>
      </w:pPr>
      <w:r w:rsidRPr="00D56FDA">
        <w:rPr>
          <w:rFonts w:ascii="Verdana" w:hAnsi="Verdana"/>
          <w:i/>
          <w:sz w:val="18"/>
          <w:szCs w:val="18"/>
        </w:rPr>
        <w:t>Acórdãos n. 241/2018, 242/2018, 117/2019, 118/2019, 179/2019, 192/2019, 32/2020, 53/2021.</w:t>
      </w:r>
    </w:p>
    <w:p w:rsidR="007628E7" w:rsidRPr="00D56FDA" w:rsidRDefault="00112408" w:rsidP="001F5343">
      <w:pPr>
        <w:pStyle w:val="NormalWeb"/>
        <w:shd w:val="clear" w:color="auto" w:fill="FFFFFF"/>
        <w:spacing w:before="0" w:beforeAutospacing="0" w:after="0" w:afterAutospacing="0"/>
        <w:ind w:left="1134"/>
        <w:jc w:val="both"/>
        <w:rPr>
          <w:rFonts w:ascii="Verdana" w:hAnsi="Verdana"/>
          <w:sz w:val="18"/>
          <w:szCs w:val="18"/>
        </w:rPr>
      </w:pPr>
      <w:r w:rsidRPr="00D56FDA">
        <w:rPr>
          <w:rFonts w:ascii="Verdana" w:hAnsi="Verdana"/>
          <w:sz w:val="18"/>
          <w:szCs w:val="18"/>
        </w:rPr>
        <w:t xml:space="preserve">Aprovação publicada </w:t>
      </w:r>
      <w:r w:rsidR="007628E7" w:rsidRPr="00D56FDA">
        <w:rPr>
          <w:rFonts w:ascii="Verdana" w:hAnsi="Verdana"/>
          <w:sz w:val="18"/>
          <w:szCs w:val="18"/>
        </w:rPr>
        <w:t>pela Resolução TAT n. 7/2022, publicada no DOE n. 10.929, de 2/9/2022, f. 5-7.</w:t>
      </w:r>
    </w:p>
    <w:p w:rsidR="008B5F9E" w:rsidRPr="00D56FDA" w:rsidRDefault="008B5F9E" w:rsidP="007628E7">
      <w:pPr>
        <w:ind w:left="1134"/>
        <w:jc w:val="both"/>
        <w:textAlignment w:val="baseline"/>
        <w:rPr>
          <w:rFonts w:ascii="Verdana" w:eastAsia="Calibri" w:hAnsi="Verdana"/>
          <w:sz w:val="18"/>
          <w:szCs w:val="18"/>
        </w:rPr>
      </w:pPr>
    </w:p>
    <w:p w:rsidR="00EC78F4" w:rsidRPr="00D56FDA" w:rsidRDefault="00EC78F4" w:rsidP="007628E7">
      <w:pPr>
        <w:ind w:left="1134"/>
        <w:jc w:val="both"/>
        <w:textAlignment w:val="baseline"/>
        <w:rPr>
          <w:rFonts w:ascii="Verdana" w:eastAsia="Calibri" w:hAnsi="Verdana"/>
          <w:sz w:val="18"/>
          <w:szCs w:val="18"/>
        </w:rPr>
      </w:pPr>
    </w:p>
    <w:p w:rsidR="008B5F9E" w:rsidRPr="00D56FDA" w:rsidRDefault="008B5F9E" w:rsidP="007628E7">
      <w:pPr>
        <w:ind w:left="1134"/>
        <w:jc w:val="both"/>
        <w:textAlignment w:val="baseline"/>
        <w:rPr>
          <w:rFonts w:ascii="Verdana" w:hAnsi="Verdana" w:cs="Arial"/>
          <w:sz w:val="18"/>
          <w:szCs w:val="18"/>
        </w:rPr>
      </w:pPr>
      <w:r w:rsidRPr="00D56FDA">
        <w:rPr>
          <w:rFonts w:ascii="Verdana" w:eastAsia="Calibri" w:hAnsi="Verdana"/>
          <w:sz w:val="18"/>
          <w:szCs w:val="18"/>
        </w:rPr>
        <w:t>20. É legítima a adoção do Valor Real Pesquisado como base de cálculo do imposto pelo regime de substituição tributária, relativamente às operações subsequentes, na hipótese em que o valor correspondente à operação que antecede aquelas submetidas ao referido regime, acrescido de todos os encargos cobrados ou transferíveis ao destinatário da operação antecedente, seja igual ou inferior ao percentual do Valor Real Pesquisado previsto na legislação para a respectiva mercadoria.</w:t>
      </w:r>
    </w:p>
    <w:p w:rsidR="008B5F9E" w:rsidRPr="00D56FDA" w:rsidRDefault="008B5F9E" w:rsidP="007628E7">
      <w:pPr>
        <w:ind w:left="1134"/>
        <w:jc w:val="both"/>
        <w:rPr>
          <w:rFonts w:ascii="Verdana" w:eastAsia="Calibri" w:hAnsi="Verdana"/>
          <w:sz w:val="18"/>
          <w:szCs w:val="18"/>
        </w:rPr>
      </w:pPr>
      <w:r w:rsidRPr="00D56FDA">
        <w:rPr>
          <w:rFonts w:ascii="Verdana" w:eastAsia="Calibri" w:hAnsi="Verdana"/>
          <w:sz w:val="18"/>
          <w:szCs w:val="18"/>
        </w:rPr>
        <w:t>Referências:</w:t>
      </w:r>
    </w:p>
    <w:p w:rsidR="008B5F9E" w:rsidRPr="00D56FDA" w:rsidRDefault="008B5F9E" w:rsidP="007628E7">
      <w:pPr>
        <w:ind w:left="1134"/>
        <w:jc w:val="both"/>
        <w:rPr>
          <w:rFonts w:ascii="Verdana" w:hAnsi="Verdana"/>
          <w:i/>
          <w:sz w:val="18"/>
          <w:szCs w:val="18"/>
        </w:rPr>
      </w:pPr>
      <w:r w:rsidRPr="00D56FDA">
        <w:rPr>
          <w:rFonts w:ascii="Verdana" w:hAnsi="Verdana"/>
          <w:i/>
          <w:sz w:val="18"/>
          <w:szCs w:val="18"/>
        </w:rPr>
        <w:t>Acórdãos n. 257/2018, 147/2019, 148/2019, 149/2019, 191/2019, 219/2019, 221/2019, 236/2021, 33/2022.</w:t>
      </w:r>
    </w:p>
    <w:p w:rsidR="007628E7" w:rsidRPr="00D56FDA" w:rsidRDefault="00112408" w:rsidP="001F5343">
      <w:pPr>
        <w:pStyle w:val="NormalWeb"/>
        <w:shd w:val="clear" w:color="auto" w:fill="FFFFFF"/>
        <w:spacing w:before="0" w:beforeAutospacing="0" w:after="0" w:afterAutospacing="0"/>
        <w:ind w:left="1134"/>
        <w:jc w:val="both"/>
        <w:rPr>
          <w:rFonts w:ascii="Verdana" w:hAnsi="Verdana"/>
          <w:sz w:val="18"/>
          <w:szCs w:val="18"/>
        </w:rPr>
      </w:pPr>
      <w:r w:rsidRPr="00D56FDA">
        <w:rPr>
          <w:rFonts w:ascii="Verdana" w:hAnsi="Verdana"/>
          <w:sz w:val="18"/>
          <w:szCs w:val="18"/>
        </w:rPr>
        <w:t xml:space="preserve">Aprovação publicada </w:t>
      </w:r>
      <w:r w:rsidR="007628E7" w:rsidRPr="00D56FDA">
        <w:rPr>
          <w:rFonts w:ascii="Verdana" w:hAnsi="Verdana"/>
          <w:sz w:val="18"/>
          <w:szCs w:val="18"/>
        </w:rPr>
        <w:t>pela Resolução TAT n. 7/2022, publicada no DOE n. 10.929, de 2/9/2022, f. 5-7.</w:t>
      </w:r>
    </w:p>
    <w:p w:rsidR="00435E26" w:rsidRPr="00D56FDA" w:rsidRDefault="00435E26" w:rsidP="007628E7">
      <w:pPr>
        <w:ind w:left="1134"/>
        <w:jc w:val="both"/>
        <w:rPr>
          <w:rFonts w:ascii="Verdana" w:hAnsi="Verdana"/>
          <w:i/>
          <w:sz w:val="18"/>
          <w:szCs w:val="18"/>
        </w:rPr>
      </w:pPr>
    </w:p>
    <w:p w:rsidR="00404F0D" w:rsidRPr="00D56FDA" w:rsidRDefault="00404F0D" w:rsidP="007628E7">
      <w:pPr>
        <w:ind w:left="1134"/>
        <w:jc w:val="both"/>
        <w:rPr>
          <w:rFonts w:ascii="Verdana" w:hAnsi="Verdana"/>
          <w:sz w:val="18"/>
          <w:szCs w:val="18"/>
        </w:rPr>
      </w:pPr>
    </w:p>
    <w:p w:rsidR="008B5F9E" w:rsidRPr="00D56FDA" w:rsidRDefault="008B5F9E" w:rsidP="007628E7">
      <w:pPr>
        <w:ind w:left="1134"/>
        <w:jc w:val="both"/>
        <w:rPr>
          <w:rFonts w:ascii="Verdana" w:hAnsi="Verdana"/>
          <w:sz w:val="18"/>
          <w:szCs w:val="18"/>
        </w:rPr>
      </w:pPr>
      <w:r w:rsidRPr="00D56FDA">
        <w:rPr>
          <w:rFonts w:ascii="Verdana" w:hAnsi="Verdana"/>
          <w:sz w:val="18"/>
          <w:szCs w:val="18"/>
        </w:rPr>
        <w:t>21. É legítima a exigência fiscal decorrente de levantamento específico que demonstra, salvo prova em contrário, o movimento real tributável apurado a partir de elementos informativos de que trata o art. 112 da Lei n. 1.810, de 22 de dezembro de 1997.</w:t>
      </w:r>
    </w:p>
    <w:p w:rsidR="008B5F9E" w:rsidRPr="00D56FDA" w:rsidRDefault="008B5F9E" w:rsidP="007628E7">
      <w:pPr>
        <w:ind w:left="1134"/>
        <w:jc w:val="both"/>
        <w:rPr>
          <w:rFonts w:ascii="Verdana" w:eastAsia="Calibri" w:hAnsi="Verdana"/>
          <w:sz w:val="18"/>
          <w:szCs w:val="18"/>
        </w:rPr>
      </w:pPr>
      <w:r w:rsidRPr="00D56FDA">
        <w:rPr>
          <w:rFonts w:ascii="Verdana" w:eastAsia="Calibri" w:hAnsi="Verdana"/>
          <w:sz w:val="18"/>
          <w:szCs w:val="18"/>
        </w:rPr>
        <w:t>Referências:</w:t>
      </w:r>
    </w:p>
    <w:p w:rsidR="008B5F9E" w:rsidRPr="00D56FDA" w:rsidRDefault="008B5F9E" w:rsidP="007628E7">
      <w:pPr>
        <w:ind w:left="1134"/>
        <w:jc w:val="both"/>
        <w:rPr>
          <w:rFonts w:ascii="Verdana" w:hAnsi="Verdana"/>
          <w:i/>
          <w:sz w:val="18"/>
          <w:szCs w:val="18"/>
        </w:rPr>
      </w:pPr>
      <w:r w:rsidRPr="00D56FDA">
        <w:rPr>
          <w:rFonts w:ascii="Verdana" w:hAnsi="Verdana"/>
          <w:i/>
          <w:sz w:val="18"/>
          <w:szCs w:val="18"/>
        </w:rPr>
        <w:t xml:space="preserve">Acórdãos n. 152/2020, 154/2020, 172/2020, 1/2021, </w:t>
      </w:r>
      <w:bookmarkStart w:id="0" w:name="_GoBack"/>
      <w:bookmarkEnd w:id="0"/>
      <w:r w:rsidRPr="00D56FDA">
        <w:rPr>
          <w:rFonts w:ascii="Verdana" w:hAnsi="Verdana"/>
          <w:i/>
          <w:sz w:val="18"/>
          <w:szCs w:val="18"/>
        </w:rPr>
        <w:t>122/2021, 136/2021, 150/2021, 197/2021, 105/2022.</w:t>
      </w:r>
    </w:p>
    <w:p w:rsidR="007628E7" w:rsidRPr="00D56FDA" w:rsidRDefault="00112408" w:rsidP="001F5343">
      <w:pPr>
        <w:pStyle w:val="NormalWeb"/>
        <w:shd w:val="clear" w:color="auto" w:fill="FFFFFF"/>
        <w:spacing w:before="0" w:beforeAutospacing="0" w:after="0" w:afterAutospacing="0"/>
        <w:ind w:left="1134"/>
        <w:jc w:val="both"/>
        <w:rPr>
          <w:rFonts w:ascii="Verdana" w:hAnsi="Verdana"/>
          <w:sz w:val="18"/>
          <w:szCs w:val="18"/>
        </w:rPr>
      </w:pPr>
      <w:r w:rsidRPr="00D56FDA">
        <w:rPr>
          <w:rFonts w:ascii="Verdana" w:hAnsi="Verdana"/>
          <w:sz w:val="18"/>
          <w:szCs w:val="18"/>
        </w:rPr>
        <w:t xml:space="preserve">Aprovação publicada </w:t>
      </w:r>
      <w:r w:rsidR="007628E7" w:rsidRPr="00D56FDA">
        <w:rPr>
          <w:rFonts w:ascii="Verdana" w:hAnsi="Verdana"/>
          <w:sz w:val="18"/>
          <w:szCs w:val="18"/>
        </w:rPr>
        <w:t>pela Resolução TAT n. 7/2022, publicada no DOE n. 10.929, de 2/9/2022, f. 5-7.</w:t>
      </w:r>
    </w:p>
    <w:p w:rsidR="00435E26" w:rsidRPr="00D56FDA" w:rsidRDefault="00435E26" w:rsidP="007628E7">
      <w:pPr>
        <w:ind w:left="1134"/>
        <w:jc w:val="both"/>
        <w:rPr>
          <w:rFonts w:ascii="Verdana" w:hAnsi="Verdana"/>
          <w:i/>
          <w:sz w:val="18"/>
          <w:szCs w:val="18"/>
        </w:rPr>
      </w:pPr>
    </w:p>
    <w:p w:rsidR="008B5F9E" w:rsidRPr="00D56FDA" w:rsidRDefault="008B5F9E" w:rsidP="007628E7">
      <w:pPr>
        <w:ind w:firstLine="709"/>
        <w:jc w:val="both"/>
        <w:rPr>
          <w:rFonts w:ascii="Verdana" w:eastAsiaTheme="minorHAnsi" w:hAnsi="Verdana" w:cs="Arial"/>
          <w:sz w:val="18"/>
          <w:szCs w:val="18"/>
          <w:lang w:eastAsia="en-US"/>
        </w:rPr>
      </w:pPr>
    </w:p>
    <w:p w:rsidR="008B5F9E" w:rsidRPr="00D56FDA" w:rsidRDefault="008B5F9E" w:rsidP="007628E7">
      <w:pPr>
        <w:ind w:left="1134"/>
        <w:jc w:val="both"/>
        <w:textAlignment w:val="baseline"/>
        <w:rPr>
          <w:rFonts w:ascii="Verdana" w:hAnsi="Verdana" w:cs="Arial"/>
          <w:sz w:val="18"/>
          <w:szCs w:val="18"/>
        </w:rPr>
      </w:pPr>
      <w:r w:rsidRPr="00D56FDA">
        <w:rPr>
          <w:rFonts w:ascii="Verdana" w:eastAsia="Calibri" w:hAnsi="Verdana"/>
          <w:sz w:val="18"/>
          <w:szCs w:val="18"/>
        </w:rPr>
        <w:t>22. É legítima a adoção de Margem de Valor Agregado, prevista na legislação, para determinação da base de cálculo do imposto pelo regime de substituição tributária, relativamente às operações subsequentes, na hipótese em que o valor correspondente à operação que antecede aquelas submetidas ao referido regime, acrescido de todos os encargos cobrados ou transferíveis ao destinatário da operação antecedente, seja superior ao percentual do Valor Real Pesquisado previsto na legislação para a respectiva mercadoria.</w:t>
      </w:r>
    </w:p>
    <w:p w:rsidR="008B5F9E" w:rsidRPr="00D56FDA" w:rsidRDefault="008B5F9E" w:rsidP="007628E7">
      <w:pPr>
        <w:ind w:left="1134"/>
        <w:jc w:val="both"/>
        <w:rPr>
          <w:rFonts w:ascii="Verdana" w:hAnsi="Verdana" w:cs="Arial"/>
          <w:i/>
          <w:sz w:val="18"/>
          <w:szCs w:val="18"/>
        </w:rPr>
      </w:pPr>
      <w:r w:rsidRPr="00D56FDA">
        <w:rPr>
          <w:rFonts w:ascii="Verdana" w:hAnsi="Verdana" w:cs="Arial"/>
          <w:i/>
          <w:sz w:val="18"/>
          <w:szCs w:val="18"/>
        </w:rPr>
        <w:t>Referência: 145/2018, 144/2018, 123/2017.</w:t>
      </w:r>
    </w:p>
    <w:p w:rsidR="007628E7" w:rsidRPr="00D56FDA" w:rsidRDefault="00112408" w:rsidP="001F5343">
      <w:pPr>
        <w:pStyle w:val="NormalWeb"/>
        <w:shd w:val="clear" w:color="auto" w:fill="FFFFFF"/>
        <w:spacing w:before="0" w:beforeAutospacing="0" w:after="0" w:afterAutospacing="0"/>
        <w:ind w:left="1134"/>
        <w:jc w:val="both"/>
        <w:rPr>
          <w:rFonts w:ascii="Verdana" w:hAnsi="Verdana"/>
          <w:sz w:val="18"/>
          <w:szCs w:val="18"/>
        </w:rPr>
      </w:pPr>
      <w:r w:rsidRPr="00D56FDA">
        <w:rPr>
          <w:rFonts w:ascii="Verdana" w:hAnsi="Verdana"/>
          <w:sz w:val="18"/>
          <w:szCs w:val="18"/>
        </w:rPr>
        <w:t xml:space="preserve">Aprovação publicada </w:t>
      </w:r>
      <w:r w:rsidR="007628E7" w:rsidRPr="00D56FDA">
        <w:rPr>
          <w:rFonts w:ascii="Verdana" w:hAnsi="Verdana"/>
          <w:sz w:val="18"/>
          <w:szCs w:val="18"/>
        </w:rPr>
        <w:t>pela Resolução TAT n. 7/2022, publicada no DOE n. 10.929, de 2/9/2022, f. 5-7.</w:t>
      </w:r>
    </w:p>
    <w:p w:rsidR="00435E26" w:rsidRPr="00D56FDA" w:rsidRDefault="00435E26" w:rsidP="007628E7">
      <w:pPr>
        <w:ind w:left="1134"/>
        <w:jc w:val="both"/>
        <w:rPr>
          <w:rFonts w:ascii="Verdana" w:hAnsi="Verdana" w:cs="Arial"/>
          <w:i/>
          <w:sz w:val="18"/>
          <w:szCs w:val="18"/>
        </w:rPr>
      </w:pPr>
    </w:p>
    <w:p w:rsidR="008B5F9E" w:rsidRPr="00D56FDA" w:rsidRDefault="008B5F9E" w:rsidP="007628E7">
      <w:pPr>
        <w:ind w:firstLine="709"/>
        <w:rPr>
          <w:rFonts w:ascii="Verdana" w:eastAsiaTheme="minorHAnsi" w:hAnsi="Verdana" w:cs="Arial"/>
          <w:sz w:val="18"/>
          <w:szCs w:val="18"/>
          <w:lang w:eastAsia="en-US"/>
        </w:rPr>
      </w:pPr>
      <w:r w:rsidRPr="00D56FDA">
        <w:rPr>
          <w:rFonts w:ascii="Verdana" w:eastAsiaTheme="minorHAnsi" w:hAnsi="Verdana" w:cs="Arial"/>
          <w:sz w:val="18"/>
          <w:szCs w:val="18"/>
          <w:lang w:eastAsia="en-US"/>
        </w:rPr>
        <w:t>Art. 2º Esta Resolução entra em vigor na data de sua publicação</w:t>
      </w:r>
      <w:r w:rsidR="00C93F9E" w:rsidRPr="00D56FDA">
        <w:rPr>
          <w:rFonts w:ascii="Verdana" w:eastAsiaTheme="minorHAnsi" w:hAnsi="Verdana" w:cs="Arial"/>
          <w:sz w:val="18"/>
          <w:szCs w:val="18"/>
          <w:lang w:eastAsia="en-US"/>
        </w:rPr>
        <w:t>, com efeito de simples consolidação</w:t>
      </w:r>
      <w:r w:rsidRPr="00D56FDA">
        <w:rPr>
          <w:rFonts w:ascii="Verdana" w:eastAsiaTheme="minorHAnsi" w:hAnsi="Verdana" w:cs="Arial"/>
          <w:sz w:val="18"/>
          <w:szCs w:val="18"/>
          <w:lang w:eastAsia="en-US"/>
        </w:rPr>
        <w:t>.</w:t>
      </w:r>
    </w:p>
    <w:p w:rsidR="008B5F9E" w:rsidRPr="00D56FDA" w:rsidRDefault="008B5F9E" w:rsidP="007628E7">
      <w:pPr>
        <w:ind w:left="1" w:firstLine="708"/>
        <w:jc w:val="center"/>
        <w:rPr>
          <w:rFonts w:ascii="Verdana" w:eastAsiaTheme="minorHAnsi" w:hAnsi="Verdana" w:cs="Arial"/>
          <w:sz w:val="18"/>
          <w:szCs w:val="18"/>
          <w:lang w:eastAsia="en-US"/>
        </w:rPr>
      </w:pPr>
    </w:p>
    <w:p w:rsidR="008B5F9E" w:rsidRPr="00D56FDA" w:rsidRDefault="008B5F9E" w:rsidP="007628E7">
      <w:pPr>
        <w:ind w:left="1" w:firstLine="708"/>
        <w:jc w:val="center"/>
        <w:rPr>
          <w:rFonts w:ascii="Verdana" w:eastAsiaTheme="minorHAnsi" w:hAnsi="Verdana" w:cs="Arial"/>
          <w:sz w:val="18"/>
          <w:szCs w:val="18"/>
          <w:lang w:eastAsia="en-US"/>
        </w:rPr>
      </w:pPr>
      <w:r w:rsidRPr="00D56FDA">
        <w:rPr>
          <w:rFonts w:ascii="Verdana" w:eastAsiaTheme="minorHAnsi" w:hAnsi="Verdana" w:cs="Arial"/>
          <w:sz w:val="18"/>
          <w:szCs w:val="18"/>
          <w:lang w:eastAsia="en-US"/>
        </w:rPr>
        <w:t xml:space="preserve"> </w:t>
      </w:r>
    </w:p>
    <w:p w:rsidR="008B5F9E" w:rsidRPr="00D56FDA" w:rsidRDefault="008B5F9E" w:rsidP="007628E7">
      <w:pPr>
        <w:ind w:left="1" w:firstLine="708"/>
        <w:jc w:val="center"/>
        <w:rPr>
          <w:rFonts w:ascii="Verdana" w:eastAsiaTheme="minorHAnsi" w:hAnsi="Verdana" w:cs="Arial"/>
          <w:sz w:val="18"/>
          <w:szCs w:val="18"/>
          <w:lang w:eastAsia="en-US"/>
        </w:rPr>
      </w:pPr>
      <w:r w:rsidRPr="00D56FDA">
        <w:rPr>
          <w:rFonts w:ascii="Verdana" w:eastAsiaTheme="minorHAnsi" w:hAnsi="Verdana" w:cs="Arial"/>
          <w:sz w:val="18"/>
          <w:szCs w:val="18"/>
          <w:lang w:eastAsia="en-US"/>
        </w:rPr>
        <w:t>JOSAFÁ JOSÉ FERREIRA DO CARMO</w:t>
      </w:r>
    </w:p>
    <w:p w:rsidR="008B5F9E" w:rsidRPr="00D56FDA" w:rsidRDefault="008B5F9E" w:rsidP="007628E7">
      <w:pPr>
        <w:ind w:left="1" w:firstLine="708"/>
        <w:jc w:val="center"/>
        <w:rPr>
          <w:rFonts w:ascii="Verdana" w:eastAsiaTheme="minorHAnsi" w:hAnsi="Verdana" w:cs="Arial"/>
          <w:sz w:val="18"/>
          <w:szCs w:val="18"/>
          <w:lang w:eastAsia="en-US"/>
        </w:rPr>
      </w:pPr>
      <w:r w:rsidRPr="00D56FDA">
        <w:rPr>
          <w:rFonts w:ascii="Verdana" w:eastAsiaTheme="minorHAnsi" w:hAnsi="Verdana" w:cs="Arial"/>
          <w:sz w:val="18"/>
          <w:szCs w:val="18"/>
          <w:lang w:eastAsia="en-US"/>
        </w:rPr>
        <w:t>Presidente</w:t>
      </w:r>
      <w:r w:rsidR="00000F7E">
        <w:rPr>
          <w:rFonts w:ascii="Verdana" w:eastAsiaTheme="minorHAnsi" w:hAnsi="Verdana" w:cs="Arial"/>
          <w:sz w:val="18"/>
          <w:szCs w:val="18"/>
          <w:lang w:eastAsia="en-US"/>
        </w:rPr>
        <w:t xml:space="preserve"> do TAT</w:t>
      </w:r>
    </w:p>
    <w:p w:rsidR="008B5F9E" w:rsidRPr="00D56FDA" w:rsidRDefault="008B5F9E" w:rsidP="007628E7">
      <w:pPr>
        <w:rPr>
          <w:rFonts w:ascii="Verdana" w:eastAsiaTheme="minorHAnsi" w:hAnsi="Verdana" w:cs="Arial"/>
          <w:sz w:val="18"/>
          <w:szCs w:val="18"/>
          <w:lang w:eastAsia="en-US"/>
        </w:rPr>
      </w:pPr>
    </w:p>
    <w:sectPr w:rsidR="008B5F9E" w:rsidRPr="00D56F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4F1"/>
    <w:rsid w:val="00000F7E"/>
    <w:rsid w:val="00013E87"/>
    <w:rsid w:val="000803A5"/>
    <w:rsid w:val="00097CB7"/>
    <w:rsid w:val="000A44EE"/>
    <w:rsid w:val="000F5806"/>
    <w:rsid w:val="00105725"/>
    <w:rsid w:val="00112408"/>
    <w:rsid w:val="001126C7"/>
    <w:rsid w:val="001F5343"/>
    <w:rsid w:val="00295196"/>
    <w:rsid w:val="002B702F"/>
    <w:rsid w:val="002D4BCD"/>
    <w:rsid w:val="002E66FD"/>
    <w:rsid w:val="00335DFA"/>
    <w:rsid w:val="00404F0D"/>
    <w:rsid w:val="0040666D"/>
    <w:rsid w:val="00435E26"/>
    <w:rsid w:val="004945EE"/>
    <w:rsid w:val="004C34F1"/>
    <w:rsid w:val="00544B44"/>
    <w:rsid w:val="00585E3C"/>
    <w:rsid w:val="0058618E"/>
    <w:rsid w:val="005C4E28"/>
    <w:rsid w:val="006E3DED"/>
    <w:rsid w:val="006F2F05"/>
    <w:rsid w:val="007628E7"/>
    <w:rsid w:val="00775005"/>
    <w:rsid w:val="00775667"/>
    <w:rsid w:val="008208E5"/>
    <w:rsid w:val="008B5F9E"/>
    <w:rsid w:val="009056F0"/>
    <w:rsid w:val="009D1406"/>
    <w:rsid w:val="009E3E33"/>
    <w:rsid w:val="00AD1248"/>
    <w:rsid w:val="00AF4A25"/>
    <w:rsid w:val="00B65463"/>
    <w:rsid w:val="00C7020C"/>
    <w:rsid w:val="00C93F9E"/>
    <w:rsid w:val="00CA5698"/>
    <w:rsid w:val="00D035AD"/>
    <w:rsid w:val="00D56FDA"/>
    <w:rsid w:val="00DC5645"/>
    <w:rsid w:val="00E10553"/>
    <w:rsid w:val="00E1773D"/>
    <w:rsid w:val="00E201CB"/>
    <w:rsid w:val="00E77FFB"/>
    <w:rsid w:val="00EC78F4"/>
    <w:rsid w:val="00ED4E4B"/>
    <w:rsid w:val="00F07960"/>
    <w:rsid w:val="00F82723"/>
    <w:rsid w:val="00F87C24"/>
    <w:rsid w:val="00FA4C0E"/>
    <w:rsid w:val="00FB0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7AA67"/>
  <w15:chartTrackingRefBased/>
  <w15:docId w15:val="{11484EA4-3405-476D-B434-F0AEE5B6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69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8208E5"/>
    <w:pPr>
      <w:keepNext/>
      <w:jc w:val="center"/>
      <w:outlineLvl w:val="0"/>
    </w:pPr>
    <w:rPr>
      <w:rFonts w:ascii="Garamond" w:eastAsia="Arial Unicode MS" w:hAnsi="Garamond"/>
      <w:b/>
      <w:szCs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C5645"/>
    <w:pPr>
      <w:spacing w:before="100" w:beforeAutospacing="1" w:after="100" w:afterAutospacing="1"/>
    </w:pPr>
  </w:style>
  <w:style w:type="paragraph" w:styleId="Textodebalo">
    <w:name w:val="Balloon Text"/>
    <w:basedOn w:val="Normal"/>
    <w:link w:val="TextodebaloChar"/>
    <w:uiPriority w:val="99"/>
    <w:semiHidden/>
    <w:unhideWhenUsed/>
    <w:rsid w:val="00105725"/>
    <w:rPr>
      <w:rFonts w:ascii="Segoe UI" w:hAnsi="Segoe UI" w:cs="Segoe UI"/>
      <w:sz w:val="18"/>
      <w:szCs w:val="18"/>
    </w:rPr>
  </w:style>
  <w:style w:type="character" w:customStyle="1" w:styleId="TextodebaloChar">
    <w:name w:val="Texto de balão Char"/>
    <w:basedOn w:val="Fontepargpadro"/>
    <w:link w:val="Textodebalo"/>
    <w:uiPriority w:val="99"/>
    <w:semiHidden/>
    <w:rsid w:val="00105725"/>
    <w:rPr>
      <w:rFonts w:ascii="Segoe UI" w:eastAsia="Times New Roman" w:hAnsi="Segoe UI" w:cs="Segoe UI"/>
      <w:sz w:val="18"/>
      <w:szCs w:val="18"/>
      <w:lang w:eastAsia="pt-BR"/>
    </w:rPr>
  </w:style>
  <w:style w:type="character" w:customStyle="1" w:styleId="Ttulo1Char">
    <w:name w:val="Título 1 Char"/>
    <w:basedOn w:val="Fontepargpadro"/>
    <w:link w:val="Ttulo1"/>
    <w:rsid w:val="008208E5"/>
    <w:rPr>
      <w:rFonts w:ascii="Garamond" w:eastAsia="Arial Unicode MS" w:hAnsi="Garamond" w:cs="Times New Roman"/>
      <w:b/>
      <w:sz w:val="24"/>
      <w:szCs w:val="20"/>
      <w:lang w:val="x-none"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78257">
      <w:bodyDiv w:val="1"/>
      <w:marLeft w:val="0"/>
      <w:marRight w:val="0"/>
      <w:marTop w:val="0"/>
      <w:marBottom w:val="0"/>
      <w:divBdr>
        <w:top w:val="none" w:sz="0" w:space="0" w:color="auto"/>
        <w:left w:val="none" w:sz="0" w:space="0" w:color="auto"/>
        <w:bottom w:val="none" w:sz="0" w:space="0" w:color="auto"/>
        <w:right w:val="none" w:sz="0" w:space="0" w:color="auto"/>
      </w:divBdr>
    </w:div>
    <w:div w:id="488595203">
      <w:bodyDiv w:val="1"/>
      <w:marLeft w:val="0"/>
      <w:marRight w:val="0"/>
      <w:marTop w:val="0"/>
      <w:marBottom w:val="0"/>
      <w:divBdr>
        <w:top w:val="none" w:sz="0" w:space="0" w:color="auto"/>
        <w:left w:val="none" w:sz="0" w:space="0" w:color="auto"/>
        <w:bottom w:val="none" w:sz="0" w:space="0" w:color="auto"/>
        <w:right w:val="none" w:sz="0" w:space="0" w:color="auto"/>
      </w:divBdr>
    </w:div>
    <w:div w:id="200423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1470</Words>
  <Characters>7942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Neuza Maria Mecatti</dc:creator>
  <cp:keywords/>
  <dc:description/>
  <cp:lastModifiedBy>Marcos Alexandre Gomes de Almeida</cp:lastModifiedBy>
  <cp:revision>17</cp:revision>
  <cp:lastPrinted>2022-09-12T13:43:00Z</cp:lastPrinted>
  <dcterms:created xsi:type="dcterms:W3CDTF">2022-09-12T13:11:00Z</dcterms:created>
  <dcterms:modified xsi:type="dcterms:W3CDTF">2022-10-13T18:27:00Z</dcterms:modified>
</cp:coreProperties>
</file>